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56" w:rsidRDefault="00905856">
      <w:pPr>
        <w:widowControl w:val="0"/>
        <w:jc w:val="center"/>
        <w:rPr>
          <w:rFonts w:ascii="Trebuchet MS" w:hAnsi="Trebuchet MS" w:cs="Trebuchet MS"/>
          <w:b/>
          <w:sz w:val="22"/>
          <w:szCs w:val="22"/>
          <w:lang w:val="fr-FR"/>
        </w:rPr>
      </w:pPr>
      <w:bookmarkStart w:id="0" w:name="_GoBack"/>
      <w:bookmarkEnd w:id="0"/>
    </w:p>
    <w:p w:rsidR="001A46EF" w:rsidRPr="007E1747" w:rsidRDefault="00A82173">
      <w:pPr>
        <w:widowControl w:val="0"/>
        <w:jc w:val="center"/>
        <w:rPr>
          <w:rFonts w:ascii="Trebuchet MS" w:hAnsi="Trebuchet MS"/>
          <w:sz w:val="22"/>
          <w:szCs w:val="22"/>
          <w:lang w:val="fr-FR"/>
        </w:rPr>
      </w:pPr>
      <w:r>
        <w:rPr>
          <w:noProof/>
          <w:lang w:eastAsia="en-US" w:bidi="ar-SA"/>
        </w:rPr>
        <mc:AlternateContent>
          <mc:Choice Requires="wps">
            <w:drawing>
              <wp:anchor distT="0" distB="0" distL="111760" distR="114300" simplePos="0" relativeHeight="2" behindDoc="0" locked="0" layoutInCell="0" allowOverlap="1">
                <wp:simplePos x="0" y="0"/>
                <wp:positionH relativeFrom="margin">
                  <wp:posOffset>-34290</wp:posOffset>
                </wp:positionH>
                <wp:positionV relativeFrom="paragraph">
                  <wp:posOffset>7620</wp:posOffset>
                </wp:positionV>
                <wp:extent cx="6515100" cy="2019300"/>
                <wp:effectExtent l="0" t="0" r="0" b="0"/>
                <wp:wrapSquare wrapText="bothSides"/>
                <wp:docPr id="1" name="Frame3"/>
                <wp:cNvGraphicFramePr/>
                <a:graphic xmlns:a="http://schemas.openxmlformats.org/drawingml/2006/main">
                  <a:graphicData uri="http://schemas.microsoft.com/office/word/2010/wordprocessingShape">
                    <wps:wsp>
                      <wps:cNvSpPr/>
                      <wps:spPr>
                        <a:xfrm>
                          <a:off x="0" y="0"/>
                          <a:ext cx="6515100" cy="2019300"/>
                        </a:xfrm>
                        <a:prstGeom prst="rect">
                          <a:avLst/>
                        </a:prstGeom>
                        <a:noFill/>
                        <a:ln w="0">
                          <a:noFill/>
                        </a:ln>
                      </wps:spPr>
                      <wps:style>
                        <a:lnRef idx="0">
                          <a:scrgbClr r="0" g="0" b="0"/>
                        </a:lnRef>
                        <a:fillRef idx="0">
                          <a:scrgbClr r="0" g="0" b="0"/>
                        </a:fillRef>
                        <a:effectRef idx="0">
                          <a:scrgbClr r="0" g="0" b="0"/>
                        </a:effectRef>
                        <a:fontRef idx="minor"/>
                      </wps:style>
                      <wps:txbx>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r>
                                    <w:rPr>
                                      <w:rFonts w:ascii="Trebuchet MS" w:hAnsi="Trebuchet MS"/>
                                      <w:sz w:val="22"/>
                                      <w:szCs w:val="22"/>
                                    </w:rPr>
                                    <w:t>Aprob,</w:t>
                                  </w:r>
                                </w:p>
                                <w:p w:rsidR="000C7B72" w:rsidRDefault="000C7B72" w:rsidP="000C7B72">
                                  <w:pPr>
                                    <w:jc w:val="center"/>
                                    <w:rPr>
                                      <w:rFonts w:ascii="Trebuchet MS" w:hAnsi="Trebuchet MS"/>
                                      <w:sz w:val="22"/>
                                      <w:szCs w:val="22"/>
                                    </w:rPr>
                                  </w:pPr>
                                  <w:r>
                                    <w:rPr>
                                      <w:rFonts w:ascii="Trebuchet MS" w:hAnsi="Trebuchet MS"/>
                                      <w:sz w:val="22"/>
                                      <w:szCs w:val="22"/>
                                    </w:rPr>
                                    <w:t xml:space="preserve">p. Ministrul Finanțelor </w:t>
                                  </w:r>
                                </w:p>
                                <w:p w:rsidR="000C7B72" w:rsidRDefault="000C7B72" w:rsidP="000C7B72">
                                  <w:pPr>
                                    <w:jc w:val="center"/>
                                    <w:rPr>
                                      <w:rFonts w:ascii="Trebuchet MS" w:hAnsi="Trebuchet MS"/>
                                      <w:sz w:val="22"/>
                                      <w:szCs w:val="22"/>
                                    </w:rPr>
                                  </w:pPr>
                                  <w:r>
                                    <w:rPr>
                                      <w:rFonts w:ascii="Trebuchet MS" w:hAnsi="Trebuchet MS"/>
                                      <w:sz w:val="22"/>
                                      <w:szCs w:val="22"/>
                                    </w:rPr>
                                    <w:t>Stefan Aurelian DAIA</w:t>
                                  </w:r>
                                </w:p>
                                <w:p w:rsidR="000C7B72" w:rsidRPr="00E57CA5" w:rsidRDefault="000C7B72" w:rsidP="000C7B72">
                                  <w:pPr>
                                    <w:jc w:val="center"/>
                                    <w:rPr>
                                      <w:rFonts w:ascii="Trebuchet MS" w:hAnsi="Trebuchet MS"/>
                                      <w:sz w:val="22"/>
                                      <w:szCs w:val="22"/>
                                    </w:rPr>
                                  </w:pPr>
                                  <w:r>
                                    <w:rPr>
                                      <w:rFonts w:ascii="Trebuchet MS" w:hAnsi="Trebuchet MS"/>
                                      <w:sz w:val="22"/>
                                      <w:szCs w:val="22"/>
                                    </w:rPr>
                                    <w:t>Director general adjunct</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r w:rsidRPr="005C105A">
                                    <w:rPr>
                                      <w:rFonts w:ascii="Trebuchet MS" w:hAnsi="Trebuchet MS" w:cs="Trebuchet MS"/>
                                      <w:sz w:val="22"/>
                                      <w:szCs w:val="22"/>
                                      <w:lang w:val="fr-FR"/>
                                    </w:rPr>
                                    <w:t>Denumirea autorităţii sau instituţiei publice</w:t>
                                  </w:r>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r>
                                    <w:rPr>
                                      <w:rFonts w:ascii="Trebuchet MS" w:hAnsi="Trebuchet MS" w:cs="Trebuchet MS"/>
                                      <w:sz w:val="22"/>
                                      <w:szCs w:val="22"/>
                                    </w:rPr>
                                    <w:t>Direcţia generală</w:t>
                                  </w:r>
                                </w:p>
                              </w:tc>
                              <w:tc>
                                <w:tcPr>
                                  <w:tcW w:w="6575" w:type="dxa"/>
                                  <w:tcBorders>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Centrul Național pentru Infromații Financiare</w:t>
                                  </w:r>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r>
                                    <w:rPr>
                                      <w:rFonts w:ascii="Trebuchet MS" w:hAnsi="Trebuchet MS" w:cs="Trebuchet MS"/>
                                      <w:sz w:val="22"/>
                                      <w:szCs w:val="22"/>
                                    </w:rPr>
                                    <w:t>Direcţia</w:t>
                                  </w:r>
                                </w:p>
                              </w:tc>
                              <w:tc>
                                <w:tcPr>
                                  <w:tcW w:w="6575" w:type="dxa"/>
                                  <w:tcBorders>
                                    <w:right w:val="single" w:sz="4" w:space="0" w:color="auto"/>
                                  </w:tcBorders>
                                </w:tcPr>
                                <w:p w:rsidR="000C7B72" w:rsidRPr="00E57CA5" w:rsidRDefault="000C7B72" w:rsidP="00A54715">
                                  <w:pPr>
                                    <w:tabs>
                                      <w:tab w:val="left" w:pos="930"/>
                                    </w:tabs>
                                    <w:rPr>
                                      <w:rFonts w:ascii="Trebuchet MS" w:hAnsi="Trebuchet MS"/>
                                      <w:b/>
                                      <w:sz w:val="22"/>
                                      <w:szCs w:val="22"/>
                                    </w:rPr>
                                  </w:pPr>
                                  <w:r w:rsidRPr="00E57CA5">
                                    <w:rPr>
                                      <w:rFonts w:ascii="Trebuchet MS" w:hAnsi="Trebuchet MS"/>
                                      <w:sz w:val="22"/>
                                      <w:szCs w:val="22"/>
                                    </w:rPr>
                                    <w:t xml:space="preserve">Direcţia </w:t>
                                  </w:r>
                                  <w:r w:rsidR="00A54715">
                                    <w:rPr>
                                      <w:rFonts w:ascii="Trebuchet MS" w:hAnsi="Trebuchet MS"/>
                                      <w:sz w:val="22"/>
                                      <w:szCs w:val="22"/>
                                    </w:rPr>
                                    <w:t>Dezvoltare Sisteme Informatice</w:t>
                                  </w:r>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r>
                                    <w:rPr>
                                      <w:rFonts w:ascii="Trebuchet MS" w:hAnsi="Trebuchet MS" w:cs="Trebuchet MS"/>
                                      <w:sz w:val="22"/>
                                      <w:szCs w:val="22"/>
                                    </w:rPr>
                                    <w:t>Serviciul</w:t>
                                  </w:r>
                                </w:p>
                              </w:tc>
                              <w:tc>
                                <w:tcPr>
                                  <w:tcW w:w="6575" w:type="dxa"/>
                                  <w:tcBorders>
                                    <w:bottom w:val="single" w:sz="4" w:space="0" w:color="auto"/>
                                    <w:right w:val="single" w:sz="4" w:space="0" w:color="auto"/>
                                  </w:tcBorders>
                                </w:tcPr>
                                <w:p w:rsidR="000C7B72" w:rsidRPr="00E57CA5" w:rsidRDefault="008E1767" w:rsidP="00905856">
                                  <w:pPr>
                                    <w:tabs>
                                      <w:tab w:val="left" w:pos="0"/>
                                    </w:tabs>
                                    <w:rPr>
                                      <w:rFonts w:ascii="Trebuchet MS" w:hAnsi="Trebuchet MS"/>
                                      <w:b/>
                                      <w:sz w:val="22"/>
                                      <w:szCs w:val="22"/>
                                    </w:rPr>
                                  </w:pPr>
                                  <w:r>
                                    <w:rPr>
                                      <w:rFonts w:ascii="Trebuchet MS" w:hAnsi="Trebuchet MS"/>
                                      <w:sz w:val="22"/>
                                      <w:szCs w:val="22"/>
                                    </w:rPr>
                                    <w:t>Serviciul aplicatii Registru Contribuabili</w:t>
                                  </w:r>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r>
                                    <w:rPr>
                                      <w:rFonts w:ascii="Trebuchet MS" w:hAnsi="Trebuchet MS" w:cs="Trebuchet MS"/>
                                      <w:sz w:val="22"/>
                                      <w:szCs w:val="22"/>
                                    </w:rPr>
                                    <w:t>Compartimentul</w:t>
                                  </w:r>
                                </w:p>
                              </w:tc>
                              <w:tc>
                                <w:tcPr>
                                  <w:tcW w:w="6575" w:type="dxa"/>
                                  <w:tcBorders>
                                    <w:left w:val="single" w:sz="4" w:space="0" w:color="auto"/>
                                    <w:bottom w:val="single" w:sz="4" w:space="0" w:color="auto"/>
                                    <w:right w:val="single" w:sz="4" w:space="0" w:color="auto"/>
                                  </w:tcBorders>
                                </w:tcPr>
                                <w:p w:rsidR="000C7B72" w:rsidRPr="00A94742" w:rsidRDefault="000C7B72" w:rsidP="00A54715">
                                  <w:pPr>
                                    <w:rPr>
                                      <w:rFonts w:ascii="Trebuchet MS" w:hAnsi="Trebuchet MS"/>
                                      <w:sz w:val="22"/>
                                      <w:szCs w:val="22"/>
                                      <w:lang w:val="ro-RO"/>
                                    </w:rPr>
                                  </w:pP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rect id="Frame3" o:spid="_x0000_s1026" style="position:absolute;left:0;text-align:left;margin-left:-2.7pt;margin-top:.6pt;width:513pt;height:159pt;z-index:2;visibility:visible;mso-wrap-style:square;mso-width-percent:0;mso-height-percent:0;mso-wrap-distance-left:8.8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" o:allowincell="f" filled="f" stroked="f" strokeweight="0">
                <v:textbox inset="0,0,0,0">
                  <w:txbxContent>
                    <w:tbl>
                      <w:tblPr>
                        <w:tblW w:w="16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6575"/>
                        <w:gridCol w:w="6385"/>
                      </w:tblGrid>
                      <w:tr w:rsidR="000C7B72" w:rsidTr="00991856">
                        <w:trPr>
                          <w:trHeight w:val="1070"/>
                        </w:trPr>
                        <w:tc>
                          <w:tcPr>
                            <w:tcW w:w="3690" w:type="dxa"/>
                            <w:tcBorders>
                              <w:top w:val="nil"/>
                              <w:left w:val="nil"/>
                              <w:bottom w:val="single" w:sz="4" w:space="0" w:color="auto"/>
                              <w:right w:val="nil"/>
                            </w:tcBorders>
                          </w:tcPr>
                          <w:p w:rsidR="000C7B72" w:rsidRPr="005C105A" w:rsidRDefault="000C7B72" w:rsidP="000C7B72">
                            <w:pPr>
                              <w:widowControl w:val="0"/>
                              <w:ind w:left="3" w:hanging="3"/>
                              <w:rPr>
                                <w:rFonts w:ascii="Trebuchet MS" w:hAnsi="Trebuchet MS" w:cs="Trebuchet MS"/>
                                <w:sz w:val="22"/>
                                <w:szCs w:val="22"/>
                                <w:lang w:val="fr-FR"/>
                              </w:rPr>
                            </w:pPr>
                          </w:p>
                        </w:tc>
                        <w:tc>
                          <w:tcPr>
                            <w:tcW w:w="6575" w:type="dxa"/>
                            <w:tcBorders>
                              <w:top w:val="nil"/>
                              <w:left w:val="nil"/>
                              <w:bottom w:val="single" w:sz="4" w:space="0" w:color="auto"/>
                              <w:right w:val="nil"/>
                            </w:tcBorders>
                          </w:tcPr>
                          <w:p w:rsidR="000C7B72" w:rsidRDefault="000C7B72" w:rsidP="000C7B72">
                            <w:pPr>
                              <w:jc w:val="center"/>
                              <w:rPr>
                                <w:rFonts w:ascii="Trebuchet MS" w:hAnsi="Trebuchet MS"/>
                                <w:sz w:val="22"/>
                                <w:szCs w:val="22"/>
                              </w:rPr>
                            </w:pPr>
                            <w:r>
                              <w:rPr>
                                <w:rFonts w:ascii="Trebuchet MS" w:hAnsi="Trebuchet MS"/>
                                <w:sz w:val="22"/>
                                <w:szCs w:val="22"/>
                              </w:rPr>
                              <w:t>Aprob,</w:t>
                            </w:r>
                          </w:p>
                          <w:p w:rsidR="000C7B72" w:rsidRDefault="000C7B72" w:rsidP="000C7B72">
                            <w:pPr>
                              <w:jc w:val="center"/>
                              <w:rPr>
                                <w:rFonts w:ascii="Trebuchet MS" w:hAnsi="Trebuchet MS"/>
                                <w:sz w:val="22"/>
                                <w:szCs w:val="22"/>
                              </w:rPr>
                            </w:pPr>
                            <w:r>
                              <w:rPr>
                                <w:rFonts w:ascii="Trebuchet MS" w:hAnsi="Trebuchet MS"/>
                                <w:sz w:val="22"/>
                                <w:szCs w:val="22"/>
                              </w:rPr>
                              <w:t xml:space="preserve">p. Ministrul Finanțelor </w:t>
                            </w:r>
                          </w:p>
                          <w:p w:rsidR="000C7B72" w:rsidRDefault="000C7B72" w:rsidP="000C7B72">
                            <w:pPr>
                              <w:jc w:val="center"/>
                              <w:rPr>
                                <w:rFonts w:ascii="Trebuchet MS" w:hAnsi="Trebuchet MS"/>
                                <w:sz w:val="22"/>
                                <w:szCs w:val="22"/>
                              </w:rPr>
                            </w:pPr>
                            <w:r>
                              <w:rPr>
                                <w:rFonts w:ascii="Trebuchet MS" w:hAnsi="Trebuchet MS"/>
                                <w:sz w:val="22"/>
                                <w:szCs w:val="22"/>
                              </w:rPr>
                              <w:t>Stefan Aurelian DAIA</w:t>
                            </w:r>
                          </w:p>
                          <w:p w:rsidR="000C7B72" w:rsidRPr="00E57CA5" w:rsidRDefault="000C7B72" w:rsidP="000C7B72">
                            <w:pPr>
                              <w:jc w:val="center"/>
                              <w:rPr>
                                <w:rFonts w:ascii="Trebuchet MS" w:hAnsi="Trebuchet MS"/>
                                <w:sz w:val="22"/>
                                <w:szCs w:val="22"/>
                              </w:rPr>
                            </w:pPr>
                            <w:r>
                              <w:rPr>
                                <w:rFonts w:ascii="Trebuchet MS" w:hAnsi="Trebuchet MS"/>
                                <w:sz w:val="22"/>
                                <w:szCs w:val="22"/>
                              </w:rPr>
                              <w:t>Director general adjunct</w:t>
                            </w:r>
                          </w:p>
                        </w:tc>
                        <w:tc>
                          <w:tcPr>
                            <w:tcW w:w="6385" w:type="dxa"/>
                            <w:tcBorders>
                              <w:left w:val="nil"/>
                            </w:tcBorders>
                          </w:tcPr>
                          <w:p w:rsidR="000C7B72" w:rsidRPr="00E57CA5" w:rsidRDefault="000C7B72" w:rsidP="000C7B72">
                            <w:pPr>
                              <w:rPr>
                                <w:sz w:val="22"/>
                                <w:szCs w:val="22"/>
                              </w:rPr>
                            </w:pPr>
                          </w:p>
                        </w:tc>
                      </w:tr>
                      <w:tr w:rsidR="000C7B72" w:rsidTr="00991856">
                        <w:tc>
                          <w:tcPr>
                            <w:tcW w:w="3690" w:type="dxa"/>
                            <w:tcBorders>
                              <w:top w:val="single" w:sz="4" w:space="0" w:color="auto"/>
                              <w:left w:val="single" w:sz="12" w:space="0" w:color="auto"/>
                              <w:right w:val="single" w:sz="4" w:space="0" w:color="auto"/>
                            </w:tcBorders>
                          </w:tcPr>
                          <w:p w:rsidR="000C7B72" w:rsidRPr="005C105A" w:rsidRDefault="000C7B72" w:rsidP="000C7B72">
                            <w:pPr>
                              <w:widowControl w:val="0"/>
                              <w:ind w:left="3" w:hanging="3"/>
                              <w:rPr>
                                <w:rFonts w:ascii="Trebuchet MS" w:hAnsi="Trebuchet MS"/>
                                <w:sz w:val="22"/>
                                <w:szCs w:val="22"/>
                                <w:lang w:val="fr-FR"/>
                              </w:rPr>
                            </w:pPr>
                            <w:r w:rsidRPr="005C105A">
                              <w:rPr>
                                <w:rFonts w:ascii="Trebuchet MS" w:hAnsi="Trebuchet MS" w:cs="Trebuchet MS"/>
                                <w:sz w:val="22"/>
                                <w:szCs w:val="22"/>
                                <w:lang w:val="fr-FR"/>
                              </w:rPr>
                              <w:t>Denumirea autorităţii sau instituţiei publice</w:t>
                            </w:r>
                          </w:p>
                        </w:tc>
                        <w:tc>
                          <w:tcPr>
                            <w:tcW w:w="6575" w:type="dxa"/>
                            <w:tcBorders>
                              <w:top w:val="single" w:sz="4" w:space="0" w:color="auto"/>
                              <w:left w:val="single" w:sz="4" w:space="0" w:color="auto"/>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 xml:space="preserve">MINISTERUL FINANȚELOR </w:t>
                            </w:r>
                          </w:p>
                        </w:tc>
                        <w:tc>
                          <w:tcPr>
                            <w:tcW w:w="6385" w:type="dxa"/>
                            <w:tcBorders>
                              <w:left w:val="single" w:sz="4" w:space="0" w:color="auto"/>
                            </w:tcBorders>
                          </w:tcPr>
                          <w:p w:rsidR="000C7B72" w:rsidRPr="00E57CA5" w:rsidRDefault="000C7B72" w:rsidP="000C7B72">
                            <w:pPr>
                              <w:rPr>
                                <w:sz w:val="22"/>
                                <w:szCs w:val="22"/>
                              </w:rPr>
                            </w:pPr>
                          </w:p>
                        </w:tc>
                      </w:tr>
                      <w:tr w:rsidR="000C7B72" w:rsidRPr="007E1747"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r>
                              <w:rPr>
                                <w:rFonts w:ascii="Trebuchet MS" w:hAnsi="Trebuchet MS" w:cs="Trebuchet MS"/>
                                <w:sz w:val="22"/>
                                <w:szCs w:val="22"/>
                              </w:rPr>
                              <w:t>Direcţia generală</w:t>
                            </w:r>
                          </w:p>
                        </w:tc>
                        <w:tc>
                          <w:tcPr>
                            <w:tcW w:w="6575" w:type="dxa"/>
                            <w:tcBorders>
                              <w:right w:val="single" w:sz="4" w:space="0" w:color="auto"/>
                            </w:tcBorders>
                          </w:tcPr>
                          <w:p w:rsidR="000C7B72" w:rsidRPr="00E57CA5" w:rsidRDefault="000C7B72" w:rsidP="000C7B72">
                            <w:pPr>
                              <w:rPr>
                                <w:rFonts w:ascii="Trebuchet MS" w:hAnsi="Trebuchet MS"/>
                                <w:b/>
                                <w:sz w:val="22"/>
                                <w:szCs w:val="22"/>
                              </w:rPr>
                            </w:pPr>
                            <w:r w:rsidRPr="00E57CA5">
                              <w:rPr>
                                <w:rFonts w:ascii="Trebuchet MS" w:hAnsi="Trebuchet MS"/>
                                <w:sz w:val="22"/>
                                <w:szCs w:val="22"/>
                              </w:rPr>
                              <w:t>Centrul Național pentru Infromații Financiare</w:t>
                            </w:r>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91856">
                        <w:tc>
                          <w:tcPr>
                            <w:tcW w:w="3690" w:type="dxa"/>
                            <w:tcBorders>
                              <w:left w:val="single" w:sz="12" w:space="0" w:color="auto"/>
                            </w:tcBorders>
                          </w:tcPr>
                          <w:p w:rsidR="000C7B72" w:rsidRDefault="000C7B72" w:rsidP="000C7B72">
                            <w:pPr>
                              <w:widowControl w:val="0"/>
                              <w:ind w:left="3" w:hanging="3"/>
                              <w:rPr>
                                <w:rFonts w:ascii="Trebuchet MS" w:hAnsi="Trebuchet MS"/>
                                <w:sz w:val="22"/>
                                <w:szCs w:val="22"/>
                              </w:rPr>
                            </w:pPr>
                            <w:r>
                              <w:rPr>
                                <w:rFonts w:ascii="Trebuchet MS" w:hAnsi="Trebuchet MS" w:cs="Trebuchet MS"/>
                                <w:sz w:val="22"/>
                                <w:szCs w:val="22"/>
                              </w:rPr>
                              <w:t>Direcţia</w:t>
                            </w:r>
                          </w:p>
                        </w:tc>
                        <w:tc>
                          <w:tcPr>
                            <w:tcW w:w="6575" w:type="dxa"/>
                            <w:tcBorders>
                              <w:right w:val="single" w:sz="4" w:space="0" w:color="auto"/>
                            </w:tcBorders>
                          </w:tcPr>
                          <w:p w:rsidR="000C7B72" w:rsidRPr="00E57CA5" w:rsidRDefault="000C7B72" w:rsidP="00A54715">
                            <w:pPr>
                              <w:tabs>
                                <w:tab w:val="left" w:pos="930"/>
                              </w:tabs>
                              <w:rPr>
                                <w:rFonts w:ascii="Trebuchet MS" w:hAnsi="Trebuchet MS"/>
                                <w:b/>
                                <w:sz w:val="22"/>
                                <w:szCs w:val="22"/>
                              </w:rPr>
                            </w:pPr>
                            <w:r w:rsidRPr="00E57CA5">
                              <w:rPr>
                                <w:rFonts w:ascii="Trebuchet MS" w:hAnsi="Trebuchet MS"/>
                                <w:sz w:val="22"/>
                                <w:szCs w:val="22"/>
                              </w:rPr>
                              <w:t xml:space="preserve">Direcţia </w:t>
                            </w:r>
                            <w:r w:rsidR="00A54715">
                              <w:rPr>
                                <w:rFonts w:ascii="Trebuchet MS" w:hAnsi="Trebuchet MS"/>
                                <w:sz w:val="22"/>
                                <w:szCs w:val="22"/>
                              </w:rPr>
                              <w:t>Dezvoltare Sisteme Informatice</w:t>
                            </w:r>
                          </w:p>
                        </w:tc>
                        <w:tc>
                          <w:tcPr>
                            <w:tcW w:w="6385" w:type="dxa"/>
                            <w:tcBorders>
                              <w:left w:val="single" w:sz="4" w:space="0" w:color="auto"/>
                            </w:tcBorders>
                          </w:tcPr>
                          <w:p w:rsidR="000C7B72" w:rsidRPr="00E57CA5" w:rsidRDefault="000C7B72" w:rsidP="000C7B72">
                            <w:pPr>
                              <w:tabs>
                                <w:tab w:val="left" w:pos="7295"/>
                              </w:tabs>
                              <w:rPr>
                                <w:sz w:val="22"/>
                                <w:szCs w:val="22"/>
                                <w:lang w:val="ro-RO"/>
                              </w:rPr>
                            </w:pPr>
                          </w:p>
                        </w:tc>
                      </w:tr>
                      <w:tr w:rsidR="000C7B72" w:rsidTr="00905856">
                        <w:tc>
                          <w:tcPr>
                            <w:tcW w:w="3690" w:type="dxa"/>
                            <w:tcBorders>
                              <w:left w:val="single" w:sz="12" w:space="0" w:color="auto"/>
                              <w:bottom w:val="single" w:sz="4" w:space="0" w:color="auto"/>
                            </w:tcBorders>
                          </w:tcPr>
                          <w:p w:rsidR="000C7B72" w:rsidRDefault="000C7B72" w:rsidP="000C7B72">
                            <w:pPr>
                              <w:widowControl w:val="0"/>
                              <w:ind w:left="3" w:hanging="3"/>
                              <w:rPr>
                                <w:rFonts w:ascii="Trebuchet MS" w:hAnsi="Trebuchet MS"/>
                                <w:sz w:val="22"/>
                                <w:szCs w:val="22"/>
                              </w:rPr>
                            </w:pPr>
                            <w:r>
                              <w:rPr>
                                <w:rFonts w:ascii="Trebuchet MS" w:hAnsi="Trebuchet MS" w:cs="Trebuchet MS"/>
                                <w:sz w:val="22"/>
                                <w:szCs w:val="22"/>
                              </w:rPr>
                              <w:t>Serviciul</w:t>
                            </w:r>
                          </w:p>
                        </w:tc>
                        <w:tc>
                          <w:tcPr>
                            <w:tcW w:w="6575" w:type="dxa"/>
                            <w:tcBorders>
                              <w:bottom w:val="single" w:sz="4" w:space="0" w:color="auto"/>
                              <w:right w:val="single" w:sz="4" w:space="0" w:color="auto"/>
                            </w:tcBorders>
                          </w:tcPr>
                          <w:p w:rsidR="000C7B72" w:rsidRPr="00E57CA5" w:rsidRDefault="008E1767" w:rsidP="00905856">
                            <w:pPr>
                              <w:tabs>
                                <w:tab w:val="left" w:pos="0"/>
                              </w:tabs>
                              <w:rPr>
                                <w:rFonts w:ascii="Trebuchet MS" w:hAnsi="Trebuchet MS"/>
                                <w:b/>
                                <w:sz w:val="22"/>
                                <w:szCs w:val="22"/>
                              </w:rPr>
                            </w:pPr>
                            <w:r>
                              <w:rPr>
                                <w:rFonts w:ascii="Trebuchet MS" w:hAnsi="Trebuchet MS"/>
                                <w:sz w:val="22"/>
                                <w:szCs w:val="22"/>
                              </w:rPr>
                              <w:t>Serviciul aplicatii Registru Contribuabili</w:t>
                            </w:r>
                          </w:p>
                        </w:tc>
                        <w:tc>
                          <w:tcPr>
                            <w:tcW w:w="6385" w:type="dxa"/>
                            <w:tcBorders>
                              <w:left w:val="single" w:sz="4" w:space="0" w:color="auto"/>
                            </w:tcBorders>
                          </w:tcPr>
                          <w:p w:rsidR="000C7B72" w:rsidRPr="00E57CA5" w:rsidRDefault="000C7B72" w:rsidP="000C7B72">
                            <w:pPr>
                              <w:ind w:right="-198"/>
                              <w:rPr>
                                <w:sz w:val="22"/>
                                <w:szCs w:val="22"/>
                              </w:rPr>
                            </w:pPr>
                          </w:p>
                        </w:tc>
                      </w:tr>
                      <w:tr w:rsidR="000C7B72" w:rsidRPr="007E1747" w:rsidTr="00905856">
                        <w:tc>
                          <w:tcPr>
                            <w:tcW w:w="3690" w:type="dxa"/>
                            <w:tcBorders>
                              <w:left w:val="single" w:sz="4" w:space="0" w:color="auto"/>
                              <w:bottom w:val="single" w:sz="4" w:space="0" w:color="auto"/>
                              <w:right w:val="single" w:sz="4" w:space="0" w:color="auto"/>
                            </w:tcBorders>
                          </w:tcPr>
                          <w:p w:rsidR="000C7B72" w:rsidRDefault="000C7B72" w:rsidP="000C7B72">
                            <w:pPr>
                              <w:widowControl w:val="0"/>
                              <w:ind w:left="3" w:hanging="3"/>
                              <w:rPr>
                                <w:rFonts w:ascii="Trebuchet MS" w:hAnsi="Trebuchet MS"/>
                                <w:sz w:val="22"/>
                                <w:szCs w:val="22"/>
                              </w:rPr>
                            </w:pPr>
                            <w:r>
                              <w:rPr>
                                <w:rFonts w:ascii="Trebuchet MS" w:hAnsi="Trebuchet MS" w:cs="Trebuchet MS"/>
                                <w:sz w:val="22"/>
                                <w:szCs w:val="22"/>
                              </w:rPr>
                              <w:t>Compartimentul</w:t>
                            </w:r>
                          </w:p>
                        </w:tc>
                        <w:tc>
                          <w:tcPr>
                            <w:tcW w:w="6575" w:type="dxa"/>
                            <w:tcBorders>
                              <w:left w:val="single" w:sz="4" w:space="0" w:color="auto"/>
                              <w:bottom w:val="single" w:sz="4" w:space="0" w:color="auto"/>
                              <w:right w:val="single" w:sz="4" w:space="0" w:color="auto"/>
                            </w:tcBorders>
                          </w:tcPr>
                          <w:p w:rsidR="000C7B72" w:rsidRPr="00A94742" w:rsidRDefault="000C7B72" w:rsidP="00A54715">
                            <w:pPr>
                              <w:rPr>
                                <w:rFonts w:ascii="Trebuchet MS" w:hAnsi="Trebuchet MS"/>
                                <w:sz w:val="22"/>
                                <w:szCs w:val="22"/>
                                <w:lang w:val="ro-RO"/>
                              </w:rPr>
                            </w:pPr>
                          </w:p>
                        </w:tc>
                        <w:tc>
                          <w:tcPr>
                            <w:tcW w:w="6385" w:type="dxa"/>
                            <w:tcBorders>
                              <w:left w:val="single" w:sz="4" w:space="0" w:color="auto"/>
                            </w:tcBorders>
                          </w:tcPr>
                          <w:p w:rsidR="000C7B72" w:rsidRPr="002567F9" w:rsidRDefault="000C7B72" w:rsidP="000C7B72">
                            <w:pPr>
                              <w:rPr>
                                <w:sz w:val="22"/>
                                <w:szCs w:val="22"/>
                                <w:lang w:val="fr-FR"/>
                              </w:rPr>
                            </w:pPr>
                          </w:p>
                        </w:tc>
                      </w:tr>
                    </w:tbl>
                    <w:p w:rsidR="001A46EF" w:rsidRPr="007E1747" w:rsidRDefault="001A46EF">
                      <w:pPr>
                        <w:pStyle w:val="FrameContents"/>
                        <w:rPr>
                          <w:color w:val="000000"/>
                          <w:lang w:val="fr-FR"/>
                        </w:rPr>
                      </w:pPr>
                    </w:p>
                  </w:txbxContent>
                </v:textbox>
                <w10:wrap type="square" anchorx="margin"/>
              </v:rect>
            </w:pict>
          </mc:Fallback>
        </mc:AlternateContent>
      </w:r>
      <w:r w:rsidRPr="007E1747">
        <w:rPr>
          <w:rFonts w:ascii="Trebuchet MS" w:hAnsi="Trebuchet MS" w:cs="Trebuchet MS"/>
          <w:b/>
          <w:sz w:val="22"/>
          <w:szCs w:val="22"/>
          <w:lang w:val="fr-FR"/>
        </w:rPr>
        <w:t>FIŞA POSTULUI STANDARDIZATĂ</w:t>
      </w:r>
    </w:p>
    <w:p w:rsidR="001A46EF" w:rsidRPr="007E1747" w:rsidRDefault="00A82173">
      <w:pPr>
        <w:jc w:val="center"/>
        <w:rPr>
          <w:rFonts w:ascii="Trebuchet MS" w:hAnsi="Trebuchet MS"/>
          <w:sz w:val="22"/>
          <w:szCs w:val="22"/>
          <w:lang w:val="fr-FR"/>
        </w:rPr>
      </w:pPr>
      <w:r w:rsidRPr="007E1747">
        <w:rPr>
          <w:rFonts w:ascii="Trebuchet MS" w:hAnsi="Trebuchet MS" w:cs="Trebuchet MS"/>
          <w:b/>
          <w:sz w:val="22"/>
          <w:szCs w:val="22"/>
          <w:lang w:val="fr-FR"/>
        </w:rPr>
        <w:t xml:space="preserve">Nr. </w:t>
      </w:r>
      <w:r w:rsidR="002567F9">
        <w:rPr>
          <w:rFonts w:ascii="Trebuchet MS" w:hAnsi="Trebuchet MS" w:cs="Trebuchet MS"/>
          <w:b/>
          <w:sz w:val="22"/>
          <w:szCs w:val="22"/>
          <w:lang w:val="fr-FR"/>
        </w:rPr>
        <w:t>2</w:t>
      </w:r>
      <w:r w:rsidR="00C9710F">
        <w:rPr>
          <w:rFonts w:ascii="Trebuchet MS" w:hAnsi="Trebuchet MS" w:cs="Trebuchet MS"/>
          <w:b/>
          <w:sz w:val="22"/>
          <w:szCs w:val="22"/>
          <w:lang w:val="fr-FR"/>
        </w:rPr>
        <w:t>176</w:t>
      </w:r>
    </w:p>
    <w:p w:rsidR="001A46EF" w:rsidRPr="007E1747" w:rsidRDefault="001A46EF">
      <w:pPr>
        <w:jc w:val="center"/>
        <w:rPr>
          <w:rFonts w:ascii="Trebuchet MS" w:hAnsi="Trebuchet MS" w:cs="Trebuchet MS"/>
          <w:b/>
          <w:sz w:val="22"/>
          <w:szCs w:val="22"/>
          <w:lang w:val="fr-FR"/>
        </w:rPr>
      </w:pPr>
    </w:p>
    <w:tbl>
      <w:tblPr>
        <w:tblW w:w="10260" w:type="dxa"/>
        <w:tblInd w:w="-5" w:type="dxa"/>
        <w:tblLayout w:type="fixed"/>
        <w:tblLook w:val="04A0" w:firstRow="1" w:lastRow="0" w:firstColumn="1" w:lastColumn="0" w:noHBand="0" w:noVBand="1"/>
      </w:tblPr>
      <w:tblGrid>
        <w:gridCol w:w="1350"/>
        <w:gridCol w:w="2070"/>
        <w:gridCol w:w="3960"/>
        <w:gridCol w:w="2880"/>
      </w:tblGrid>
      <w:tr w:rsidR="001A46EF" w:rsidRPr="007E1747" w:rsidTr="007E1747">
        <w:trPr>
          <w:trHeight w:val="253"/>
        </w:trPr>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r w:rsidRPr="00991856">
              <w:rPr>
                <w:rFonts w:ascii="Trebuchet MS" w:hAnsi="Trebuchet MS" w:cs="Trebuchet MS"/>
                <w:b/>
                <w:sz w:val="22"/>
                <w:szCs w:val="22"/>
              </w:rPr>
              <w:t>Informaţii generale privind postul</w:t>
            </w:r>
          </w:p>
        </w:tc>
      </w:tr>
      <w:tr w:rsidR="001A46EF" w:rsidRPr="007E1747" w:rsidTr="00F319FE">
        <w:trPr>
          <w:trHeight w:val="367"/>
        </w:trPr>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r w:rsidRPr="00991856">
              <w:rPr>
                <w:rFonts w:ascii="Trebuchet MS" w:hAnsi="Trebuchet MS" w:cs="Trebuchet MS"/>
                <w:sz w:val="22"/>
                <w:szCs w:val="22"/>
              </w:rPr>
              <w:t>Denumirea postului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8E1767">
            <w:pPr>
              <w:widowControl w:val="0"/>
              <w:rPr>
                <w:rFonts w:ascii="Trebuchet MS" w:hAnsi="Trebuchet MS"/>
                <w:sz w:val="22"/>
                <w:szCs w:val="22"/>
              </w:rPr>
            </w:pPr>
            <w:r>
              <w:rPr>
                <w:rFonts w:ascii="Trebuchet MS" w:hAnsi="Trebuchet MS"/>
                <w:bCs/>
                <w:sz w:val="22"/>
                <w:szCs w:val="22"/>
                <w:lang w:val="ro-RO"/>
              </w:rPr>
              <w:t>INSPECTOR</w:t>
            </w:r>
          </w:p>
        </w:tc>
      </w:tr>
      <w:tr w:rsidR="001A46EF" w:rsidRPr="007E1747" w:rsidTr="00F319FE">
        <w:trPr>
          <w:trHeight w:val="303"/>
        </w:trPr>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r w:rsidRPr="00991856">
              <w:rPr>
                <w:rFonts w:ascii="Trebuchet MS" w:hAnsi="Trebuchet MS" w:cs="Trebuchet MS"/>
                <w:sz w:val="22"/>
                <w:szCs w:val="22"/>
              </w:rPr>
              <w:t>Nivelul postului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FUNCȚIE PUBLICĂ DE EXECUȚIE</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r w:rsidRPr="00991856">
              <w:rPr>
                <w:rFonts w:ascii="Trebuchet MS" w:hAnsi="Trebuchet MS" w:cs="Trebuchet MS"/>
                <w:sz w:val="22"/>
                <w:szCs w:val="22"/>
              </w:rPr>
              <w:t xml:space="preserve">Clasa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pPr>
              <w:widowControl w:val="0"/>
              <w:rPr>
                <w:rFonts w:ascii="Trebuchet MS" w:hAnsi="Trebuchet MS"/>
                <w:sz w:val="22"/>
                <w:szCs w:val="22"/>
              </w:rPr>
            </w:pPr>
            <w:r w:rsidRPr="00991856">
              <w:rPr>
                <w:rFonts w:ascii="Trebuchet MS" w:hAnsi="Trebuchet MS"/>
                <w:bCs/>
                <w:sz w:val="22"/>
                <w:szCs w:val="22"/>
                <w:lang w:val="ro-RO"/>
              </w:rPr>
              <w:t>I</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pPr>
              <w:widowControl w:val="0"/>
              <w:ind w:left="3" w:hanging="3"/>
              <w:rPr>
                <w:rFonts w:ascii="Trebuchet MS" w:hAnsi="Trebuchet MS"/>
                <w:sz w:val="22"/>
                <w:szCs w:val="22"/>
              </w:rPr>
            </w:pPr>
            <w:r w:rsidRPr="00991856">
              <w:rPr>
                <w:rFonts w:ascii="Trebuchet MS" w:hAnsi="Trebuchet MS" w:cs="Trebuchet MS"/>
                <w:sz w:val="22"/>
                <w:szCs w:val="22"/>
              </w:rPr>
              <w:t xml:space="preserve">Gradul profesional </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54715">
            <w:pPr>
              <w:widowControl w:val="0"/>
              <w:rPr>
                <w:rFonts w:ascii="Trebuchet MS" w:hAnsi="Trebuchet MS"/>
                <w:sz w:val="22"/>
                <w:szCs w:val="22"/>
              </w:rPr>
            </w:pPr>
            <w:r>
              <w:rPr>
                <w:rFonts w:ascii="Trebuchet MS" w:hAnsi="Trebuchet MS"/>
                <w:bCs/>
                <w:sz w:val="22"/>
                <w:szCs w:val="22"/>
                <w:lang w:val="ro-RO"/>
              </w:rPr>
              <w:t>SUPERIOR</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r w:rsidRPr="00991856">
              <w:rPr>
                <w:rFonts w:ascii="Trebuchet MS" w:hAnsi="Trebuchet MS" w:cs="Trebuchet MS"/>
                <w:b/>
                <w:sz w:val="22"/>
                <w:szCs w:val="22"/>
              </w:rPr>
              <w:t>Descrierea postului</w:t>
            </w:r>
          </w:p>
          <w:p w:rsidR="001A46EF" w:rsidRPr="00991856" w:rsidRDefault="001A46EF">
            <w:pPr>
              <w:widowControl w:val="0"/>
              <w:jc w:val="center"/>
              <w:rPr>
                <w:rFonts w:ascii="Trebuchet MS" w:hAnsi="Trebuchet MS"/>
                <w:b/>
                <w:sz w:val="22"/>
                <w:szCs w:val="22"/>
              </w:rPr>
            </w:pP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991856" w:rsidRDefault="00A82173" w:rsidP="00DD000B">
            <w:pPr>
              <w:widowControl w:val="0"/>
              <w:rPr>
                <w:rFonts w:ascii="Trebuchet MS" w:hAnsi="Trebuchet MS"/>
                <w:sz w:val="22"/>
                <w:szCs w:val="22"/>
              </w:rPr>
            </w:pPr>
            <w:r w:rsidRPr="00991856">
              <w:rPr>
                <w:rFonts w:ascii="Trebuchet MS" w:hAnsi="Trebuchet MS" w:cs="Trebuchet MS"/>
                <w:sz w:val="22"/>
                <w:szCs w:val="22"/>
              </w:rPr>
              <w:t>Scopul principal al postului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C767BB">
            <w:pPr>
              <w:widowControl w:val="0"/>
              <w:tabs>
                <w:tab w:val="center" w:pos="4536"/>
                <w:tab w:val="right" w:pos="9072"/>
              </w:tabs>
              <w:rPr>
                <w:rFonts w:ascii="Trebuchet MS" w:hAnsi="Trebuchet MS"/>
                <w:sz w:val="22"/>
                <w:szCs w:val="22"/>
              </w:rPr>
            </w:pPr>
            <w:r>
              <w:rPr>
                <w:rFonts w:ascii="Trebuchet MS" w:hAnsi="Trebuchet MS" w:cs="Arial"/>
                <w:sz w:val="20"/>
                <w:lang w:val="ro-RO" w:eastAsia="en-US"/>
              </w:rPr>
              <w:t>A</w:t>
            </w:r>
            <w:r w:rsidRPr="008925E1">
              <w:rPr>
                <w:rFonts w:ascii="Trebuchet MS" w:hAnsi="Trebuchet MS" w:cs="Arial"/>
                <w:sz w:val="20"/>
                <w:lang w:val="ro-RO" w:eastAsia="en-US"/>
              </w:rPr>
              <w:t>sigură implementarea și exploatarea aplicațiilor informatice specifice fiecărei activități a DGAMC</w:t>
            </w:r>
            <w:r w:rsidRPr="008925E1">
              <w:rPr>
                <w:rFonts w:ascii="Trebuchet MS" w:hAnsi="Trebuchet MS" w:cs="Arial"/>
                <w:sz w:val="20"/>
                <w:lang w:val="it-IT"/>
              </w:rPr>
              <w:t xml:space="preserve"> in conformitate cu cerintele structurilor din domeniul specific, conform Regulamentului de Organizare si Functionare si strategiei TIC a institutiei.</w:t>
            </w:r>
          </w:p>
        </w:tc>
      </w:tr>
      <w:tr w:rsidR="001A46EF" w:rsidRPr="00A51C04"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spacing w:before="120"/>
              <w:ind w:left="3" w:hanging="3"/>
              <w:rPr>
                <w:rFonts w:ascii="Trebuchet MS" w:hAnsi="Trebuchet MS"/>
                <w:sz w:val="22"/>
                <w:szCs w:val="22"/>
                <w:lang w:val="fr-FR"/>
              </w:rPr>
            </w:pPr>
            <w:r w:rsidRPr="00991856">
              <w:rPr>
                <w:rFonts w:ascii="Trebuchet MS" w:hAnsi="Trebuchet MS" w:cs="Trebuchet MS"/>
                <w:b/>
                <w:sz w:val="22"/>
                <w:szCs w:val="22"/>
                <w:lang w:val="fr-FR"/>
              </w:rPr>
              <w:t xml:space="preserve">Atribuţiile postului </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asigură implementarea și exploatarea aplicațiilor informatice specifice fiecărei activități a DGAMC, atât direct, prin resurse proprii, cât și indirect, în baza unor contracte de bunuri și/sau servicii angajate la nivelul MF, în funcție de necesități și de acoperirea cu personal propriu a competențelor estimate ca fiind necesare, dar și de elemente cum sunt volumul de muncă și termenele de execuție;</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asigură aplicarea procedurii privind securitatea datelor la nivelul DGAMC;</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 xml:space="preserve">asigură aplicarea procedurii privind recuperarea datelor în caz de dezastru la nivelul DGAMC; </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ro-RO" w:eastAsia="en-US"/>
              </w:rPr>
            </w:pPr>
            <w:r w:rsidRPr="008925E1">
              <w:rPr>
                <w:rFonts w:ascii="Trebuchet MS" w:hAnsi="Trebuchet MS" w:cs="Arial"/>
                <w:sz w:val="20"/>
                <w:lang w:val="it-IT"/>
              </w:rPr>
              <w:t>asigură configurarea unitară a tehnicii de calcul și comunicațiilor, asigură condiții pentru</w:t>
            </w:r>
            <w:r w:rsidRPr="008925E1">
              <w:rPr>
                <w:rFonts w:ascii="Trebuchet MS" w:hAnsi="Trebuchet MS" w:cs="Arial"/>
                <w:sz w:val="20"/>
                <w:lang w:val="ro-RO" w:eastAsia="en-US"/>
              </w:rPr>
              <w:t xml:space="preserve"> instalarea lor și a interoperabilității cu sistemele deja existente, integrarea în rețeaua de comunicații (date, voce, imagine), conform specificațiilor stabilite de Centrul Național pentru Informații Financiare;</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constată/confirmă apariția unor incidente și le remediază cu resurse proprii sau prin escaladare la nivelul superior de intervenție organizat la prestatorul de servicii de întreținere și asistență tehnică,  în conformitate cu politicile Centrului Național pentru Informații Financiare;</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pentru fiecare tip de echipament sau de software, serviciul dedicat reprezintă punctul unic de contact pentru relația cu prestatorii de servicii de întreținere și asistență tehnică, prin intermediul punctului unic de contact desemnat din cadrul nivelului superior ierarhic;</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administrează şi alocă resursele materiale şi umane pentru desfăşurarea activităţilor de rutină în domeniul de competență;</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administrează curent şi întreţine în funcțiune curentă infrastructura platformelor de aplicaţii informatice (de business sau utilitare), a echipamentelor de calcul, a echipamentelor de comunicații, a dotării posturilor de lucru,etc. pentru DGAMC, cu resurse proprii sau cu asistență tehnică externă  angajată la nivelul MF, după caz, în conformitate cu politicile Centrului Național pentru Informații Financiare;</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sz w:val="20"/>
                <w:lang w:val="fr-FR"/>
              </w:rPr>
              <w:t xml:space="preserve">administreaza bazele de date la nivel local; </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sz w:val="20"/>
                <w:lang w:val="fr-FR"/>
              </w:rPr>
              <w:t>de</w:t>
            </w:r>
            <w:r w:rsidRPr="008925E1">
              <w:rPr>
                <w:rFonts w:ascii="Trebuchet MS" w:eastAsia="Calibri" w:hAnsi="Trebuchet MS" w:cs="Trebuchet MS"/>
                <w:sz w:val="20"/>
                <w:lang w:val="ro-RO"/>
              </w:rPr>
              <w:t>sfășoară a</w:t>
            </w:r>
            <w:r w:rsidRPr="008925E1">
              <w:rPr>
                <w:rFonts w:ascii="Trebuchet MS" w:hAnsi="Trebuchet MS"/>
                <w:sz w:val="20"/>
                <w:lang w:val="fr-FR"/>
              </w:rPr>
              <w:t>ctivităţi de furnizare a expertizei de specialitate şi a asistenţei practice în managementul sistemelor de baze de date si în utilizarea datelor informatice pentru a răspunde cerinţelor sistemului informatic în orice moment al ciclului de viaţă, în conformitate cu criteriile de calitate definite</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ro-RO" w:eastAsia="en-US"/>
              </w:rPr>
            </w:pPr>
            <w:r w:rsidRPr="008925E1">
              <w:rPr>
                <w:rFonts w:ascii="Trebuchet MS" w:hAnsi="Trebuchet MS" w:cs="Arial"/>
                <w:sz w:val="20"/>
                <w:lang w:val="it-IT"/>
              </w:rPr>
              <w:t>asigură implementarea procedurilor de administrare pentru</w:t>
            </w:r>
            <w:r w:rsidRPr="008925E1">
              <w:rPr>
                <w:rFonts w:ascii="Trebuchet MS" w:hAnsi="Trebuchet MS" w:cs="Arial"/>
                <w:sz w:val="20"/>
                <w:lang w:val="ro-RO" w:eastAsia="en-US"/>
              </w:rPr>
              <w:t xml:space="preserve"> bazele de date distribuite de către Centrul Național pentru Informații Financiare;</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administrează rețelele locale de calculatoare și asigură implementarea procedurilor de administrare pentru rețelele locale de calculatoare aflate în cadrul DGAMC;</w:t>
            </w:r>
          </w:p>
          <w:p w:rsidR="00C767BB" w:rsidRPr="008925E1" w:rsidRDefault="00C767BB" w:rsidP="00C767BB">
            <w:pPr>
              <w:pStyle w:val="DefaultText1"/>
              <w:widowControl w:val="0"/>
              <w:numPr>
                <w:ilvl w:val="0"/>
                <w:numId w:val="1"/>
              </w:numPr>
              <w:tabs>
                <w:tab w:val="left" w:pos="180"/>
                <w:tab w:val="left" w:pos="360"/>
                <w:tab w:val="left" w:pos="450"/>
              </w:tabs>
              <w:spacing w:after="0" w:line="240" w:lineRule="auto"/>
              <w:jc w:val="both"/>
              <w:textAlignment w:val="baseline"/>
              <w:rPr>
                <w:rFonts w:ascii="Trebuchet MS" w:hAnsi="Trebuchet MS" w:cs="Arial"/>
                <w:sz w:val="20"/>
                <w:szCs w:val="20"/>
                <w:lang w:val="ro-RO"/>
              </w:rPr>
            </w:pPr>
            <w:r>
              <w:rPr>
                <w:rFonts w:ascii="Trebuchet MS" w:hAnsi="Trebuchet MS" w:cs="Arial"/>
                <w:sz w:val="20"/>
                <w:szCs w:val="20"/>
                <w:lang w:val="ro-RO" w:eastAsia="zh-CN"/>
              </w:rPr>
              <w:lastRenderedPageBreak/>
              <w:t>d</w:t>
            </w:r>
            <w:r w:rsidRPr="008925E1">
              <w:rPr>
                <w:rFonts w:ascii="Trebuchet MS" w:hAnsi="Trebuchet MS" w:cs="Arial"/>
                <w:sz w:val="20"/>
                <w:szCs w:val="20"/>
                <w:lang w:val="ro-RO" w:eastAsia="zh-CN"/>
              </w:rPr>
              <w:t>esfasoar</w:t>
            </w:r>
            <w:r w:rsidRPr="008925E1">
              <w:rPr>
                <w:rFonts w:ascii="Trebuchet MS" w:hAnsi="Trebuchet MS" w:cs="Arial"/>
                <w:sz w:val="20"/>
                <w:szCs w:val="20"/>
                <w:lang w:val="ro-RO"/>
              </w:rPr>
              <w:t>ă</w:t>
            </w:r>
            <w:r w:rsidRPr="008925E1">
              <w:rPr>
                <w:rFonts w:ascii="Trebuchet MS" w:hAnsi="Trebuchet MS" w:cs="Arial"/>
                <w:sz w:val="20"/>
                <w:szCs w:val="20"/>
                <w:lang w:val="ro-RO" w:eastAsia="zh-CN"/>
              </w:rPr>
              <w:t xml:space="preserve"> activități de realizare a analizei în vederea definirii specificațiilor pentru construirea efectivă a sistemelor informatice, susceptibile să răspundă cerințelor utilizatorilor</w:t>
            </w:r>
            <w:r w:rsidRPr="008925E1">
              <w:rPr>
                <w:rFonts w:ascii="Trebuchet MS" w:hAnsi="Trebuchet MS" w:cs="Arial"/>
                <w:sz w:val="20"/>
                <w:szCs w:val="20"/>
                <w:lang w:val="ro-RO"/>
              </w:rPr>
              <w:t>;</w:t>
            </w:r>
          </w:p>
          <w:p w:rsidR="00C767BB" w:rsidRPr="008925E1" w:rsidRDefault="00C767BB" w:rsidP="00C767BB">
            <w:pPr>
              <w:pStyle w:val="DefaultText1"/>
              <w:widowControl w:val="0"/>
              <w:numPr>
                <w:ilvl w:val="0"/>
                <w:numId w:val="1"/>
              </w:numPr>
              <w:tabs>
                <w:tab w:val="left" w:pos="180"/>
                <w:tab w:val="left" w:pos="360"/>
                <w:tab w:val="left" w:pos="450"/>
              </w:tabs>
              <w:spacing w:after="0" w:line="240" w:lineRule="auto"/>
              <w:jc w:val="both"/>
              <w:textAlignment w:val="baseline"/>
              <w:rPr>
                <w:rFonts w:ascii="Trebuchet MS" w:hAnsi="Trebuchet MS" w:cs="Arial"/>
                <w:sz w:val="20"/>
                <w:szCs w:val="20"/>
                <w:lang w:val="ro-RO" w:eastAsia="zh-CN"/>
              </w:rPr>
            </w:pPr>
            <w:r>
              <w:rPr>
                <w:rFonts w:ascii="Trebuchet MS" w:hAnsi="Trebuchet MS" w:cs="Arial"/>
                <w:sz w:val="20"/>
                <w:szCs w:val="20"/>
                <w:lang w:val="ro-RO" w:eastAsia="zh-CN"/>
              </w:rPr>
              <w:t>d</w:t>
            </w:r>
            <w:r w:rsidRPr="008925E1">
              <w:rPr>
                <w:rFonts w:ascii="Trebuchet MS" w:hAnsi="Trebuchet MS" w:cs="Arial"/>
                <w:sz w:val="20"/>
                <w:szCs w:val="20"/>
                <w:lang w:val="ro-RO" w:eastAsia="zh-CN"/>
              </w:rPr>
              <w:t>esfasoar</w:t>
            </w:r>
            <w:r w:rsidRPr="008925E1">
              <w:rPr>
                <w:rFonts w:ascii="Trebuchet MS" w:hAnsi="Trebuchet MS" w:cs="Arial"/>
                <w:sz w:val="20"/>
                <w:szCs w:val="20"/>
                <w:lang w:val="ro-RO"/>
              </w:rPr>
              <w:t>ă</w:t>
            </w:r>
            <w:r w:rsidRPr="008925E1">
              <w:rPr>
                <w:rFonts w:ascii="Trebuchet MS" w:hAnsi="Trebuchet MS" w:cs="Arial"/>
                <w:sz w:val="20"/>
                <w:szCs w:val="20"/>
                <w:lang w:val="ro-RO" w:eastAsia="zh-CN"/>
              </w:rPr>
              <w:t xml:space="preserve"> activități de realizare a programelor pentru calculator, conform unor specificații predefinite, și asamblarea lor în sisteme coerente, inclusiv testarea în vederea asigurării conformității cu specificațiile</w:t>
            </w:r>
            <w:r w:rsidRPr="008925E1">
              <w:rPr>
                <w:rFonts w:ascii="Trebuchet MS" w:hAnsi="Trebuchet MS" w:cs="Arial"/>
                <w:sz w:val="20"/>
                <w:szCs w:val="20"/>
                <w:lang w:val="ro-RO"/>
              </w:rPr>
              <w:t>;</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analizează comportamentul echipamentelor de calcul și comunicații în exploatare la DGAMC, făcând propuneri pentru modul de întreținere, pentru piesele de schimb și consumabilele necesare bunei funcționări a acesteia etc.;</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 xml:space="preserve">asigură instalarea software-ului de bază și aplicativ pe servere și stațiile de lucru în exploatare la DGAMC, în concordanță cu cerințele aplicațiilor,  </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ro-RO" w:eastAsia="en-US"/>
              </w:rPr>
            </w:pPr>
            <w:r w:rsidRPr="008925E1">
              <w:rPr>
                <w:rFonts w:ascii="Trebuchet MS" w:hAnsi="Trebuchet MS" w:cs="Arial"/>
                <w:sz w:val="20"/>
                <w:lang w:val="it-IT"/>
              </w:rPr>
              <w:t>colaborează cu celelalte direcții/ servicii din cadrul Centrului Național pentru Informații Financiare în vederea instalării, punerii în funcțiune, exploatării și întreținerii</w:t>
            </w:r>
            <w:r w:rsidRPr="008925E1">
              <w:rPr>
                <w:rFonts w:ascii="Trebuchet MS" w:hAnsi="Trebuchet MS" w:cs="Arial"/>
                <w:sz w:val="20"/>
                <w:lang w:val="ro-RO" w:eastAsia="en-US"/>
              </w:rPr>
              <w:t xml:space="preserve"> aplicațiilor în cele mai bune condiții, precum și a înțelegerii cât mai bune a cerințelor utilizatorilor;</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gestionează informațiile necesare Centrului Național pentru Informații Financiare pentru estimarea necesarului de investiții în elemente hardware, software și de comunicații pentru DGAMC;</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 xml:space="preserve"> asigură întocmirea și actualizarea evidenței proprii a echipamentelor IT din dotarea DGAMC, în colaborare cu serviciul contabilitate al DGAMC;</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ro-RO" w:eastAsia="en-US"/>
              </w:rPr>
              <w:t xml:space="preserve">  </w:t>
            </w:r>
            <w:r w:rsidRPr="008925E1">
              <w:rPr>
                <w:rFonts w:ascii="Trebuchet MS" w:hAnsi="Trebuchet MS" w:cs="Arial"/>
                <w:sz w:val="20"/>
                <w:lang w:val="it-IT"/>
              </w:rPr>
              <w:t>colaborează cu Serviciul achiziții și administrativ pentru elaborarea propunerilor în vederea casării echipamentelor IT din dotarea Direcției generale, uzate fizic și moral;</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formulează propuneri de repartizare a articolelor de investiții din domeniul de activitate și asigură instalarea și punerea în funcțiune;</w:t>
            </w:r>
          </w:p>
          <w:p w:rsidR="00C767BB"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 xml:space="preserve">colaborează cu structurile organizaționale beneficiare ale aplicaţiilor dezvoltate, în vederea unei cât mai bune înţelegerii a cerinţelor utilizatorilor şi asigurării acceptabilităţii acestora; </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intreprinde a</w:t>
            </w:r>
            <w:r w:rsidRPr="008925E1">
              <w:rPr>
                <w:rFonts w:ascii="Trebuchet MS" w:eastAsia="Calibri" w:hAnsi="Trebuchet MS"/>
                <w:sz w:val="20"/>
                <w:lang w:val="it-IT"/>
              </w:rPr>
              <w:t>ctivități care combină aptitudinile analitice și de proiectare cu cunoștințe adecvate de tehnologie software și hardware, în vederea definirii, proiectării, realizării, testării, implementării și modificării sistemelor informatice ce conțin software ca principală componentă</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colaborează cu celelalte direcții, servicii, birouri şi compartimente din cadrul Centrului Național pentru Informații Financiare,  cu structurile organizaționale din cadrul Ministerului Finanțelor și instituţiilor subordonate pentru realizarea şi implementarea aplicațiilor informatice și furnizarea serviciilor informatice din competența serviciului în cele mai bune condiții;</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fr-FR"/>
              </w:rPr>
            </w:pPr>
            <w:r w:rsidRPr="008925E1">
              <w:rPr>
                <w:rFonts w:ascii="Trebuchet MS" w:hAnsi="Trebuchet MS" w:cs="Arial"/>
                <w:sz w:val="20"/>
                <w:lang w:val="fr-FR"/>
              </w:rPr>
              <w:t>respectă standardele, procedurile şi metodologiile stabilite la nivelul Centrului Național pentru Informații Financiare;</w:t>
            </w:r>
          </w:p>
          <w:p w:rsidR="00C767BB" w:rsidRPr="008925E1" w:rsidRDefault="00C767BB" w:rsidP="00C767BB">
            <w:pPr>
              <w:pStyle w:val="BodyText"/>
              <w:numPr>
                <w:ilvl w:val="0"/>
                <w:numId w:val="1"/>
              </w:numPr>
              <w:tabs>
                <w:tab w:val="left" w:pos="0"/>
                <w:tab w:val="left" w:pos="360"/>
                <w:tab w:val="left" w:pos="900"/>
                <w:tab w:val="left" w:pos="990"/>
              </w:tabs>
              <w:suppressAutoHyphens w:val="0"/>
              <w:overflowPunct/>
              <w:spacing w:after="0" w:line="240" w:lineRule="auto"/>
              <w:jc w:val="both"/>
              <w:rPr>
                <w:rFonts w:ascii="Trebuchet MS" w:hAnsi="Trebuchet MS" w:cs="Arial"/>
                <w:sz w:val="20"/>
                <w:lang w:val="it-IT"/>
              </w:rPr>
            </w:pPr>
            <w:r w:rsidRPr="008925E1">
              <w:rPr>
                <w:rFonts w:ascii="Trebuchet MS" w:eastAsia="Trebuchet MS" w:hAnsi="Trebuchet MS" w:cs="Arial Unicode MS"/>
                <w:color w:val="000000"/>
                <w:sz w:val="20"/>
                <w:lang w:val="fr-FR"/>
              </w:rPr>
              <w:t>desfășoară activități specifice domeniului de competență al structurii din care face parte, pentru implementarea unor programe și proiecte finanțate din fonduri europene nerambursabile și/sau fonduri externe rambursabile, precum și pentru implementarea proiectelor finanțate prin Mecanismul de redresare şi reziliență, derulate de către structuri organizaționale din cadrul M.F. și care au o componentă T.I.C., pentru a asigura integrarea acestor componente în Sistemul informatic existent, cu respectarea liniilor strategice și de securitate informatică stabilite la nivelul Ministerului Finanțelor și instituțiilor subordonate;</w:t>
            </w:r>
          </w:p>
          <w:p w:rsidR="00C767BB" w:rsidRPr="008925E1" w:rsidRDefault="00C767BB" w:rsidP="00C767BB">
            <w:pPr>
              <w:pStyle w:val="BodyText"/>
              <w:numPr>
                <w:ilvl w:val="0"/>
                <w:numId w:val="1"/>
              </w:numPr>
              <w:tabs>
                <w:tab w:val="left" w:pos="0"/>
                <w:tab w:val="left" w:pos="360"/>
                <w:tab w:val="left" w:pos="90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studiază permanent literatura de specialitate în vederea formulării propunerilor de schimbare a tehnologiei informaţiei şi comunicaţiilor;</w:t>
            </w:r>
          </w:p>
          <w:p w:rsidR="00C767BB" w:rsidRPr="008925E1" w:rsidRDefault="00C767BB" w:rsidP="00C767BB">
            <w:pPr>
              <w:pStyle w:val="BodyText"/>
              <w:numPr>
                <w:ilvl w:val="0"/>
                <w:numId w:val="1"/>
              </w:numPr>
              <w:tabs>
                <w:tab w:val="left" w:pos="360"/>
                <w:tab w:val="left" w:pos="99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participă la elaborarea de caiete de sarcini, specificaţii tehnice şi funcţionale pentru achiziţia de produse şi servicii TIC pe domeniul de competenţă al serviciului, în colaborare cu celelalte direcții, servicii şi compartimente din cadrul Centrului Național pentru Informații Financiare și cu directiile beneficiare din cadrul Ministerului Finanțelor și instituțiilor subordonate, după caz;</w:t>
            </w:r>
          </w:p>
          <w:p w:rsidR="00C767BB" w:rsidRPr="008925E1" w:rsidRDefault="00C767BB" w:rsidP="00C767BB">
            <w:pPr>
              <w:pStyle w:val="BodyText"/>
              <w:numPr>
                <w:ilvl w:val="0"/>
                <w:numId w:val="1"/>
              </w:numPr>
              <w:tabs>
                <w:tab w:val="left" w:pos="0"/>
                <w:tab w:val="left" w:pos="360"/>
                <w:tab w:val="left" w:pos="900"/>
                <w:tab w:val="left" w:pos="990"/>
                <w:tab w:val="left" w:pos="153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participă în cadrul comisiilor de evaluare a ofertelor şi în cadrul comisiilor de recepţie a produselor şi serviciilor din domeniul TIC achiziţionate;</w:t>
            </w:r>
          </w:p>
          <w:p w:rsidR="00C767BB" w:rsidRPr="008925E1" w:rsidRDefault="00C767BB" w:rsidP="00C767BB">
            <w:pPr>
              <w:pStyle w:val="DefaultText1"/>
              <w:widowControl w:val="0"/>
              <w:numPr>
                <w:ilvl w:val="0"/>
                <w:numId w:val="1"/>
              </w:numPr>
              <w:tabs>
                <w:tab w:val="left" w:pos="284"/>
                <w:tab w:val="left" w:pos="360"/>
                <w:tab w:val="left" w:pos="450"/>
                <w:tab w:val="left" w:pos="900"/>
                <w:tab w:val="left" w:pos="990"/>
                <w:tab w:val="left" w:pos="1350"/>
              </w:tabs>
              <w:overflowPunct w:val="0"/>
              <w:autoSpaceDE w:val="0"/>
              <w:autoSpaceDN w:val="0"/>
              <w:adjustRightInd w:val="0"/>
              <w:spacing w:after="0" w:line="240" w:lineRule="auto"/>
              <w:jc w:val="both"/>
              <w:textAlignment w:val="baseline"/>
              <w:rPr>
                <w:rFonts w:ascii="Trebuchet MS" w:hAnsi="Trebuchet MS" w:cs="Arial"/>
                <w:sz w:val="20"/>
                <w:szCs w:val="20"/>
                <w:lang w:val="it-IT"/>
              </w:rPr>
            </w:pPr>
            <w:r w:rsidRPr="008925E1">
              <w:rPr>
                <w:rFonts w:ascii="Trebuchet MS" w:hAnsi="Trebuchet MS" w:cs="Arial"/>
                <w:sz w:val="20"/>
                <w:szCs w:val="20"/>
                <w:lang w:val="it-IT"/>
              </w:rPr>
              <w:t>urmărește modul de derulare și îndeplinirea clauzelor contractuale pentru contracte încheiate în domeniul TIC;</w:t>
            </w:r>
          </w:p>
          <w:p w:rsidR="00C767BB" w:rsidRPr="008925E1" w:rsidRDefault="00C767BB" w:rsidP="00C767BB">
            <w:pPr>
              <w:pStyle w:val="DefaultText1"/>
              <w:widowControl w:val="0"/>
              <w:numPr>
                <w:ilvl w:val="0"/>
                <w:numId w:val="1"/>
              </w:numPr>
              <w:tabs>
                <w:tab w:val="left" w:pos="270"/>
                <w:tab w:val="left" w:pos="360"/>
                <w:tab w:val="left" w:pos="450"/>
                <w:tab w:val="left" w:pos="900"/>
                <w:tab w:val="left" w:pos="990"/>
                <w:tab w:val="left" w:pos="1350"/>
              </w:tabs>
              <w:overflowPunct w:val="0"/>
              <w:autoSpaceDE w:val="0"/>
              <w:autoSpaceDN w:val="0"/>
              <w:adjustRightInd w:val="0"/>
              <w:spacing w:after="0" w:line="240" w:lineRule="auto"/>
              <w:jc w:val="both"/>
              <w:textAlignment w:val="baseline"/>
              <w:rPr>
                <w:rFonts w:ascii="Trebuchet MS" w:hAnsi="Trebuchet MS" w:cs="Arial"/>
                <w:sz w:val="20"/>
                <w:szCs w:val="20"/>
                <w:lang w:val="it-IT"/>
              </w:rPr>
            </w:pPr>
            <w:r w:rsidRPr="008925E1">
              <w:rPr>
                <w:rFonts w:ascii="Trebuchet MS" w:hAnsi="Trebuchet MS" w:cs="Arial"/>
                <w:sz w:val="20"/>
                <w:szCs w:val="20"/>
                <w:lang w:val="it-IT"/>
              </w:rPr>
              <w:t>participă la elaborarea si revizuirea procedurilor de sistem şi operationale (elaborate de CNIF sau de către alte direcţii MF) cu  impact asupra activităţii serviciului;</w:t>
            </w:r>
          </w:p>
          <w:p w:rsidR="00C767BB" w:rsidRPr="008925E1" w:rsidRDefault="00C767BB" w:rsidP="00C767BB">
            <w:pPr>
              <w:pStyle w:val="BodyText"/>
              <w:numPr>
                <w:ilvl w:val="0"/>
                <w:numId w:val="1"/>
              </w:numPr>
              <w:tabs>
                <w:tab w:val="left" w:pos="0"/>
                <w:tab w:val="left" w:pos="360"/>
                <w:tab w:val="left" w:pos="900"/>
                <w:tab w:val="left" w:pos="135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participă  la seminarii, prezentări şi workshop-uri pe teme de specialitate.</w:t>
            </w:r>
          </w:p>
          <w:p w:rsidR="00C767BB" w:rsidRPr="008925E1" w:rsidRDefault="00C767BB" w:rsidP="00C767BB">
            <w:pPr>
              <w:pStyle w:val="BodyText"/>
              <w:numPr>
                <w:ilvl w:val="0"/>
                <w:numId w:val="1"/>
              </w:numPr>
              <w:tabs>
                <w:tab w:val="left" w:pos="0"/>
                <w:tab w:val="left" w:pos="360"/>
                <w:tab w:val="left" w:pos="786"/>
                <w:tab w:val="left" w:pos="900"/>
                <w:tab w:val="left" w:pos="135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color w:val="000000"/>
                <w:sz w:val="20"/>
                <w:lang w:val="it-IT"/>
              </w:rPr>
              <w:t>respectă prevederile legislației din domeniul securității și sănătății în muncă, apărării împotriva incendiilor și măsurile de aplicare a acestora;</w:t>
            </w:r>
          </w:p>
          <w:p w:rsidR="00C767BB" w:rsidRPr="008925E1" w:rsidRDefault="00C767BB" w:rsidP="00C767BB">
            <w:pPr>
              <w:pStyle w:val="BodyText"/>
              <w:numPr>
                <w:ilvl w:val="0"/>
                <w:numId w:val="1"/>
              </w:numPr>
              <w:tabs>
                <w:tab w:val="left" w:pos="0"/>
                <w:tab w:val="left" w:pos="360"/>
                <w:tab w:val="left" w:pos="786"/>
                <w:tab w:val="left" w:pos="900"/>
                <w:tab w:val="left" w:pos="135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color w:val="000000"/>
                <w:sz w:val="20"/>
                <w:lang w:val="it-IT"/>
              </w:rPr>
              <w:t>utilizează corect și eficient aparatura (calculator, imprimantă, etc.) și rechizitele, manipulează și întreține corespunzător mobilierul din dotare;</w:t>
            </w:r>
          </w:p>
          <w:p w:rsidR="00C767BB" w:rsidRPr="008925E1" w:rsidRDefault="00C767BB" w:rsidP="00C767BB">
            <w:pPr>
              <w:pStyle w:val="BodyText"/>
              <w:numPr>
                <w:ilvl w:val="0"/>
                <w:numId w:val="1"/>
              </w:numPr>
              <w:tabs>
                <w:tab w:val="left" w:pos="0"/>
                <w:tab w:val="left" w:pos="360"/>
                <w:tab w:val="left" w:pos="786"/>
                <w:tab w:val="left" w:pos="900"/>
                <w:tab w:val="left" w:pos="135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color w:val="000000"/>
                <w:sz w:val="20"/>
              </w:rPr>
              <w:t>informează conducerea direcției generale privind eventualele accidente de muncă pe care le suferă;</w:t>
            </w:r>
          </w:p>
          <w:p w:rsidR="001A46EF" w:rsidRPr="00A54715" w:rsidRDefault="00C767BB" w:rsidP="00C767BB">
            <w:pPr>
              <w:pStyle w:val="BodyText"/>
              <w:numPr>
                <w:ilvl w:val="0"/>
                <w:numId w:val="1"/>
              </w:numPr>
              <w:tabs>
                <w:tab w:val="left" w:pos="360"/>
                <w:tab w:val="left" w:pos="851"/>
                <w:tab w:val="left" w:pos="900"/>
              </w:tabs>
              <w:suppressAutoHyphens w:val="0"/>
              <w:overflowPunct/>
              <w:spacing w:after="0" w:line="240" w:lineRule="auto"/>
              <w:jc w:val="both"/>
              <w:rPr>
                <w:rFonts w:ascii="Trebuchet MS" w:hAnsi="Trebuchet MS" w:cs="Arial"/>
                <w:sz w:val="20"/>
                <w:lang w:val="it-IT"/>
              </w:rPr>
            </w:pPr>
            <w:r w:rsidRPr="008925E1">
              <w:rPr>
                <w:rFonts w:ascii="Trebuchet MS" w:hAnsi="Trebuchet MS" w:cs="Arial"/>
                <w:sz w:val="20"/>
                <w:lang w:val="it-IT"/>
              </w:rPr>
              <w:t xml:space="preserve">îndeplineşte orice alte sarcini primite de la conducerea serviciului care duc la îndeplinirea scopului postului, </w:t>
            </w:r>
            <w:r w:rsidRPr="008925E1">
              <w:rPr>
                <w:rFonts w:ascii="Trebuchet MS" w:hAnsi="Trebuchet MS" w:cs="Arial"/>
                <w:color w:val="000000"/>
                <w:sz w:val="20"/>
                <w:lang w:val="fr-FR"/>
              </w:rPr>
              <w:t>în conformitate cu legislaţia în vigoare</w:t>
            </w:r>
            <w:r w:rsidRPr="008925E1">
              <w:rPr>
                <w:rFonts w:ascii="Trebuchet MS" w:hAnsi="Trebuchet MS" w:cs="Arial"/>
                <w:sz w:val="20"/>
                <w:lang w:val="it-IT"/>
              </w:rPr>
              <w:t>.</w:t>
            </w:r>
          </w:p>
        </w:tc>
      </w:tr>
      <w:tr w:rsidR="001A46EF" w:rsidRPr="007E1747" w:rsidTr="007E1747">
        <w:tc>
          <w:tcPr>
            <w:tcW w:w="10260" w:type="dxa"/>
            <w:gridSpan w:val="4"/>
            <w:tcBorders>
              <w:top w:val="single" w:sz="4" w:space="0" w:color="000000"/>
              <w:left w:val="single" w:sz="4" w:space="0" w:color="000000"/>
              <w:bottom w:val="single" w:sz="4" w:space="0" w:color="000000"/>
              <w:right w:val="single" w:sz="4" w:space="0" w:color="000000"/>
            </w:tcBorders>
          </w:tcPr>
          <w:p w:rsidR="001A46EF" w:rsidRPr="00991856" w:rsidRDefault="00A82173">
            <w:pPr>
              <w:widowControl w:val="0"/>
              <w:jc w:val="center"/>
              <w:rPr>
                <w:rFonts w:ascii="Trebuchet MS" w:hAnsi="Trebuchet MS"/>
                <w:sz w:val="22"/>
                <w:szCs w:val="22"/>
              </w:rPr>
            </w:pPr>
            <w:r w:rsidRPr="00991856">
              <w:rPr>
                <w:rFonts w:ascii="Trebuchet MS" w:hAnsi="Trebuchet MS" w:cs="Trebuchet MS"/>
                <w:b/>
                <w:sz w:val="22"/>
                <w:szCs w:val="22"/>
              </w:rPr>
              <w:lastRenderedPageBreak/>
              <w:t>Condiții pentru ocuparea postului</w:t>
            </w:r>
          </w:p>
          <w:p w:rsidR="001A46EF" w:rsidRPr="00991856" w:rsidRDefault="001A46EF">
            <w:pPr>
              <w:widowControl w:val="0"/>
              <w:jc w:val="center"/>
              <w:rPr>
                <w:rFonts w:ascii="Trebuchet MS" w:hAnsi="Trebuchet MS"/>
                <w:b/>
                <w:sz w:val="22"/>
                <w:szCs w:val="22"/>
              </w:rPr>
            </w:pPr>
          </w:p>
        </w:tc>
      </w:tr>
      <w:tr w:rsidR="001A46EF" w:rsidRPr="00A51C04"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r w:rsidRPr="001C08CF">
              <w:rPr>
                <w:rFonts w:ascii="Trebuchet MS" w:hAnsi="Trebuchet MS" w:cs="Trebuchet MS"/>
                <w:sz w:val="20"/>
                <w:szCs w:val="20"/>
              </w:rPr>
              <w:t>Nivelul studiilor</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DB580B" w:rsidRDefault="00A82173">
            <w:pPr>
              <w:widowControl w:val="0"/>
              <w:rPr>
                <w:rFonts w:ascii="Trebuchet MS" w:hAnsi="Trebuchet MS"/>
                <w:sz w:val="20"/>
                <w:szCs w:val="20"/>
                <w:lang w:val="fr-FR"/>
              </w:rPr>
            </w:pPr>
            <w:r w:rsidRPr="00DB580B">
              <w:rPr>
                <w:rFonts w:ascii="Trebuchet MS" w:hAnsi="Trebuchet MS"/>
                <w:bCs/>
                <w:sz w:val="20"/>
                <w:szCs w:val="20"/>
                <w:lang w:val="ro-RO"/>
              </w:rPr>
              <w:t>Studii u</w:t>
            </w:r>
            <w:r w:rsidR="00BE11A1" w:rsidRPr="00DB580B">
              <w:rPr>
                <w:rFonts w:ascii="Trebuchet MS" w:hAnsi="Trebuchet MS"/>
                <w:bCs/>
                <w:sz w:val="20"/>
                <w:szCs w:val="20"/>
                <w:lang w:val="ro-RO"/>
              </w:rPr>
              <w:t>n</w:t>
            </w:r>
            <w:r w:rsidRPr="00DB580B">
              <w:rPr>
                <w:rFonts w:ascii="Trebuchet MS" w:hAnsi="Trebuchet MS"/>
                <w:bCs/>
                <w:sz w:val="20"/>
                <w:szCs w:val="20"/>
                <w:lang w:val="ro-RO"/>
              </w:rPr>
              <w:t xml:space="preserve">iversitare de licență absolvite cu diplomă de licență sau </w:t>
            </w:r>
            <w:r w:rsidRPr="00DB580B">
              <w:rPr>
                <w:rFonts w:ascii="Trebuchet MS" w:hAnsi="Trebuchet MS"/>
                <w:bCs/>
                <w:sz w:val="20"/>
                <w:szCs w:val="20"/>
                <w:lang w:val="ro-RO"/>
              </w:rPr>
              <w:lastRenderedPageBreak/>
              <w:t xml:space="preserve">echivalentă </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r w:rsidRPr="001C08CF">
              <w:rPr>
                <w:rFonts w:ascii="Trebuchet MS" w:hAnsi="Trebuchet MS" w:cs="Trebuchet MS"/>
                <w:sz w:val="20"/>
                <w:szCs w:val="20"/>
              </w:rPr>
              <w:lastRenderedPageBreak/>
              <w:t>Domeniul studiilor</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DB580B" w:rsidRDefault="00A82173">
            <w:pPr>
              <w:widowControl w:val="0"/>
              <w:rPr>
                <w:rFonts w:ascii="Trebuchet MS" w:hAnsi="Trebuchet MS"/>
                <w:sz w:val="20"/>
                <w:szCs w:val="20"/>
              </w:rPr>
            </w:pPr>
            <w:r w:rsidRPr="00DB580B">
              <w:rPr>
                <w:rFonts w:ascii="Trebuchet MS" w:hAnsi="Trebuchet MS"/>
                <w:bCs/>
                <w:sz w:val="20"/>
                <w:szCs w:val="20"/>
                <w:lang w:val="ro-RO"/>
              </w:rPr>
              <w:t xml:space="preserve">matematică, informatică, științe inginerești sau științe economice </w:t>
            </w:r>
          </w:p>
        </w:tc>
      </w:tr>
      <w:tr w:rsidR="001A46EF" w:rsidRPr="007E1747" w:rsidTr="00F319FE">
        <w:tc>
          <w:tcPr>
            <w:tcW w:w="3420" w:type="dxa"/>
            <w:gridSpan w:val="2"/>
            <w:tcBorders>
              <w:top w:val="single" w:sz="4" w:space="0" w:color="000000"/>
              <w:left w:val="single" w:sz="4" w:space="0" w:color="000000"/>
              <w:bottom w:val="single" w:sz="4" w:space="0" w:color="000000"/>
            </w:tcBorders>
          </w:tcPr>
          <w:p w:rsidR="001A46EF" w:rsidRPr="001C08CF" w:rsidRDefault="00A82173" w:rsidP="007E1747">
            <w:pPr>
              <w:widowControl w:val="0"/>
              <w:ind w:left="3" w:hanging="3"/>
              <w:rPr>
                <w:rFonts w:ascii="Trebuchet MS" w:hAnsi="Trebuchet MS"/>
                <w:sz w:val="20"/>
                <w:szCs w:val="20"/>
              </w:rPr>
            </w:pPr>
            <w:r w:rsidRPr="001C08CF">
              <w:rPr>
                <w:rFonts w:ascii="Trebuchet MS" w:hAnsi="Trebuchet MS" w:cs="Trebuchet MS"/>
                <w:sz w:val="20"/>
                <w:szCs w:val="20"/>
              </w:rPr>
              <w:t>Perfecționări/specializări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CF22A4">
            <w:pPr>
              <w:widowControl w:val="0"/>
              <w:rPr>
                <w:rFonts w:ascii="Trebuchet MS" w:hAnsi="Trebuchet MS"/>
                <w:bCs/>
                <w:sz w:val="22"/>
                <w:szCs w:val="22"/>
              </w:rPr>
            </w:pPr>
            <w:r>
              <w:rPr>
                <w:rFonts w:ascii="Trebuchet MS" w:hAnsi="Trebuchet MS"/>
                <w:bCs/>
                <w:sz w:val="22"/>
                <w:szCs w:val="22"/>
              </w:rPr>
              <w:t>-</w:t>
            </w:r>
          </w:p>
        </w:tc>
      </w:tr>
      <w:tr w:rsidR="00BE11A1" w:rsidRPr="007E1747" w:rsidTr="00F319FE">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rPr>
            </w:pPr>
            <w:r w:rsidRPr="001C08CF">
              <w:rPr>
                <w:rFonts w:ascii="Trebuchet MS" w:hAnsi="Trebuchet MS"/>
                <w:sz w:val="20"/>
                <w:szCs w:val="20"/>
              </w:rPr>
              <w:t xml:space="preserve">‍Vechimea </w:t>
            </w:r>
            <w:r w:rsidRPr="001C08CF">
              <w:rPr>
                <w:rFonts w:ascii="Trebuchet MS" w:hAnsi="Trebuchet MS"/>
                <w:sz w:val="20"/>
                <w:szCs w:val="20"/>
                <w:lang w:val="ro-RO"/>
              </w:rPr>
              <w:t>în specialitate prevăzută de lege pentru ocuparea funcției publice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7E1747" w:rsidRDefault="00A54715" w:rsidP="00BE11A1">
            <w:pPr>
              <w:widowControl w:val="0"/>
              <w:rPr>
                <w:rFonts w:ascii="Trebuchet MS" w:hAnsi="Trebuchet MS"/>
                <w:bCs/>
                <w:sz w:val="20"/>
                <w:szCs w:val="20"/>
              </w:rPr>
            </w:pPr>
            <w:r>
              <w:rPr>
                <w:rFonts w:ascii="Trebuchet MS" w:hAnsi="Trebuchet MS"/>
                <w:bCs/>
                <w:sz w:val="20"/>
                <w:szCs w:val="20"/>
              </w:rPr>
              <w:t>7 ani</w:t>
            </w:r>
          </w:p>
        </w:tc>
      </w:tr>
      <w:tr w:rsidR="00BE11A1" w:rsidRPr="007E1747" w:rsidTr="00F319FE">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sz w:val="20"/>
                <w:szCs w:val="20"/>
              </w:rPr>
            </w:pPr>
            <w:r w:rsidRPr="001C08CF">
              <w:rPr>
                <w:rFonts w:ascii="Arial" w:hAnsi="Arial" w:cs="Arial"/>
                <w:sz w:val="20"/>
                <w:szCs w:val="20"/>
              </w:rPr>
              <w:t>‍</w:t>
            </w:r>
            <w:r w:rsidRPr="001C08CF">
              <w:rPr>
                <w:rFonts w:ascii="Trebuchet MS" w:hAnsi="Trebuchet MS"/>
                <w:sz w:val="20"/>
                <w:szCs w:val="20"/>
                <w:lang w:val="ro-RO"/>
              </w:rPr>
              <w:t>Cunoștințe generale privind competențe lingvistice de comunicare în limba engleză/franceză</w:t>
            </w:r>
            <w:r w:rsidR="001C08CF">
              <w:rPr>
                <w:rFonts w:ascii="Trebuchet MS" w:hAnsi="Trebuchet MS"/>
                <w:sz w:val="20"/>
                <w:szCs w:val="20"/>
                <w:lang w:val="ro-RO"/>
              </w:rPr>
              <w:t xml:space="preserve"> </w:t>
            </w:r>
            <w:r w:rsidRPr="001C08CF">
              <w:rPr>
                <w:rFonts w:ascii="Trebuchet MS" w:hAnsi="Trebuchet MS"/>
                <w:sz w:val="20"/>
                <w:szCs w:val="20"/>
                <w:lang w:val="ro-RO"/>
              </w:rPr>
              <w:t>/spaniolă/germană</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2567F9" w:rsidRDefault="00CF22A4" w:rsidP="00BE11A1">
            <w:pPr>
              <w:widowControl w:val="0"/>
              <w:rPr>
                <w:rFonts w:ascii="Trebuchet MS" w:hAnsi="Trebuchet MS"/>
                <w:sz w:val="20"/>
                <w:szCs w:val="20"/>
                <w:lang w:val="fr-FR"/>
              </w:rPr>
            </w:pPr>
            <w:r>
              <w:rPr>
                <w:rFonts w:ascii="Trebuchet MS" w:hAnsi="Trebuchet MS"/>
                <w:sz w:val="20"/>
                <w:szCs w:val="20"/>
                <w:lang w:val="fr-FR"/>
              </w:rPr>
              <w:t>-</w:t>
            </w:r>
          </w:p>
        </w:tc>
      </w:tr>
      <w:tr w:rsidR="00BE11A1" w:rsidRPr="00CF22A4" w:rsidTr="00F319FE">
        <w:tc>
          <w:tcPr>
            <w:tcW w:w="3420" w:type="dxa"/>
            <w:gridSpan w:val="2"/>
            <w:tcBorders>
              <w:top w:val="single" w:sz="4" w:space="0" w:color="000000"/>
              <w:left w:val="single" w:sz="4" w:space="0" w:color="000000"/>
              <w:bottom w:val="single" w:sz="4" w:space="0" w:color="000000"/>
            </w:tcBorders>
          </w:tcPr>
          <w:p w:rsidR="00BE11A1" w:rsidRPr="00CF22A4" w:rsidRDefault="00BE11A1" w:rsidP="001C08CF">
            <w:pPr>
              <w:widowControl w:val="0"/>
              <w:ind w:left="3" w:hanging="3"/>
              <w:rPr>
                <w:rFonts w:ascii="Trebuchet MS" w:hAnsi="Trebuchet MS"/>
                <w:sz w:val="20"/>
                <w:szCs w:val="20"/>
              </w:rPr>
            </w:pPr>
            <w:r w:rsidRPr="00CF22A4">
              <w:rPr>
                <w:rFonts w:ascii="Trebuchet MS" w:hAnsi="Trebuchet MS" w:cs="Trebuchet MS"/>
                <w:sz w:val="20"/>
                <w:szCs w:val="20"/>
              </w:rPr>
              <w:t xml:space="preserve">Cunoștințe </w:t>
            </w:r>
            <w:r w:rsidRPr="001C08CF">
              <w:rPr>
                <w:rFonts w:ascii="Trebuchet MS" w:hAnsi="Trebuchet MS" w:cs="Trebuchet MS"/>
                <w:sz w:val="20"/>
                <w:szCs w:val="20"/>
                <w:lang w:val="ro-RO"/>
              </w:rPr>
              <w:t xml:space="preserve">teoretice în domeniul tehnologiei informației, </w:t>
            </w:r>
            <w:r w:rsidR="00CF22A4">
              <w:rPr>
                <w:rFonts w:ascii="Trebuchet MS" w:hAnsi="Trebuchet MS" w:cs="Trebuchet MS"/>
                <w:sz w:val="20"/>
                <w:szCs w:val="20"/>
                <w:lang w:val="ro-RO"/>
              </w:rPr>
              <w:t>nivel utilizator începător</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Pr="00733573" w:rsidRDefault="00CF22A4" w:rsidP="001C08CF">
            <w:pPr>
              <w:widowControl w:val="0"/>
              <w:rPr>
                <w:rFonts w:ascii="Trebuchet MS" w:hAnsi="Trebuchet MS"/>
                <w:sz w:val="20"/>
                <w:szCs w:val="20"/>
                <w:lang w:val="fr-FR"/>
              </w:rPr>
            </w:pPr>
            <w:r>
              <w:rPr>
                <w:rFonts w:ascii="Trebuchet MS" w:hAnsi="Trebuchet MS"/>
                <w:sz w:val="20"/>
                <w:szCs w:val="20"/>
                <w:lang w:val="fr-FR"/>
              </w:rPr>
              <w:t>Nivel utilizator începător</w:t>
            </w:r>
          </w:p>
        </w:tc>
      </w:tr>
      <w:tr w:rsidR="00BE11A1" w:rsidRPr="00CF22A4" w:rsidTr="00F319FE">
        <w:trPr>
          <w:trHeight w:val="240"/>
        </w:trPr>
        <w:tc>
          <w:tcPr>
            <w:tcW w:w="3420" w:type="dxa"/>
            <w:gridSpan w:val="2"/>
            <w:tcBorders>
              <w:top w:val="single" w:sz="4" w:space="0" w:color="000000"/>
              <w:left w:val="single" w:sz="4" w:space="0" w:color="000000"/>
              <w:bottom w:val="single" w:sz="4" w:space="0" w:color="000000"/>
            </w:tcBorders>
          </w:tcPr>
          <w:p w:rsidR="00BE11A1" w:rsidRPr="00A51C04" w:rsidRDefault="00BE11A1" w:rsidP="00BE11A1">
            <w:pPr>
              <w:widowControl w:val="0"/>
              <w:ind w:left="3" w:hanging="3"/>
              <w:rPr>
                <w:rFonts w:ascii="Trebuchet MS" w:hAnsi="Trebuchet MS"/>
                <w:sz w:val="20"/>
                <w:szCs w:val="20"/>
              </w:rPr>
            </w:pPr>
            <w:r w:rsidRPr="001C08CF">
              <w:rPr>
                <w:rFonts w:ascii="Trebuchet MS" w:hAnsi="Trebuchet MS" w:cs="Trebuchet MS"/>
                <w:sz w:val="20"/>
                <w:szCs w:val="20"/>
                <w:lang w:val="ro-RO"/>
              </w:rPr>
              <w:t>Obținerea unui/unei aviz/autorizații prevăzut/prevăzute de lege, cu respectarea prevederilor legislației  specifice cu privire la îndeplinirea condiției</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CF22A4" w:rsidP="00BE11A1">
            <w:pPr>
              <w:widowControl w:val="0"/>
              <w:rPr>
                <w:rFonts w:ascii="Trebuchet MS" w:hAnsi="Trebuchet MS"/>
                <w:bCs/>
                <w:sz w:val="20"/>
                <w:szCs w:val="20"/>
                <w:lang w:val="ro-RO"/>
              </w:rPr>
            </w:pPr>
            <w:r>
              <w:rPr>
                <w:rFonts w:ascii="Trebuchet MS" w:hAnsi="Trebuchet MS"/>
                <w:bCs/>
                <w:sz w:val="20"/>
                <w:szCs w:val="20"/>
                <w:lang w:val="ro-RO"/>
              </w:rPr>
              <w:t>-</w:t>
            </w:r>
          </w:p>
        </w:tc>
      </w:tr>
      <w:tr w:rsidR="00BE11A1" w:rsidRPr="007E1747" w:rsidTr="00F319FE">
        <w:trPr>
          <w:trHeight w:val="333"/>
        </w:trPr>
        <w:tc>
          <w:tcPr>
            <w:tcW w:w="3420" w:type="dxa"/>
            <w:gridSpan w:val="2"/>
            <w:tcBorders>
              <w:top w:val="single" w:sz="4" w:space="0" w:color="000000"/>
              <w:left w:val="single" w:sz="4" w:space="0" w:color="000000"/>
              <w:bottom w:val="single" w:sz="4" w:space="0" w:color="000000"/>
            </w:tcBorders>
          </w:tcPr>
          <w:p w:rsidR="00BE11A1" w:rsidRPr="001C08CF" w:rsidRDefault="00BE11A1" w:rsidP="00BE11A1">
            <w:pPr>
              <w:widowControl w:val="0"/>
              <w:ind w:left="3" w:hanging="3"/>
              <w:rPr>
                <w:rFonts w:ascii="Trebuchet MS" w:hAnsi="Trebuchet MS" w:cs="Trebuchet MS"/>
                <w:sz w:val="20"/>
                <w:szCs w:val="20"/>
                <w:lang w:val="ro-RO"/>
              </w:rPr>
            </w:pPr>
            <w:r w:rsidRPr="001C08CF">
              <w:rPr>
                <w:rFonts w:ascii="Trebuchet MS" w:hAnsi="Trebuchet MS"/>
                <w:sz w:val="20"/>
                <w:szCs w:val="20"/>
              </w:rPr>
              <w:t>‍</w:t>
            </w:r>
            <w:r w:rsidRPr="001C08CF">
              <w:rPr>
                <w:rFonts w:ascii="Trebuchet MS" w:hAnsi="Trebuchet MS"/>
                <w:sz w:val="20"/>
                <w:szCs w:val="20"/>
                <w:lang w:val="ro-RO"/>
              </w:rPr>
              <w:t>Alte condiții pentru ocuparea unei funcții publice prevăzute în acte normative specifice aplicabile autorităților sau instituțiilor publice respective</w:t>
            </w:r>
          </w:p>
        </w:tc>
        <w:tc>
          <w:tcPr>
            <w:tcW w:w="6840" w:type="dxa"/>
            <w:gridSpan w:val="2"/>
            <w:tcBorders>
              <w:top w:val="single" w:sz="4" w:space="0" w:color="000000"/>
              <w:left w:val="single" w:sz="4" w:space="0" w:color="000000"/>
              <w:bottom w:val="single" w:sz="4" w:space="0" w:color="000000"/>
              <w:right w:val="single" w:sz="4" w:space="0" w:color="000000"/>
            </w:tcBorders>
            <w:vAlign w:val="center"/>
          </w:tcPr>
          <w:p w:rsidR="00BE11A1" w:rsidRDefault="00CF22A4" w:rsidP="00BE11A1">
            <w:pPr>
              <w:widowControl w:val="0"/>
              <w:rPr>
                <w:rFonts w:ascii="Trebuchet MS" w:hAnsi="Trebuchet MS"/>
                <w:bCs/>
                <w:sz w:val="20"/>
                <w:szCs w:val="20"/>
                <w:lang w:val="ro-RO"/>
              </w:rPr>
            </w:pPr>
            <w:r>
              <w:rPr>
                <w:rFonts w:ascii="Trebuchet MS" w:hAnsi="Trebuchet MS"/>
                <w:bCs/>
                <w:sz w:val="20"/>
                <w:szCs w:val="20"/>
                <w:lang w:val="ro-RO"/>
              </w:rPr>
              <w:t>-</w:t>
            </w:r>
          </w:p>
        </w:tc>
      </w:tr>
      <w:tr w:rsidR="00BE11A1" w:rsidRPr="007E1747" w:rsidTr="007E1747">
        <w:trPr>
          <w:trHeight w:val="528"/>
        </w:trPr>
        <w:tc>
          <w:tcPr>
            <w:tcW w:w="10260" w:type="dxa"/>
            <w:gridSpan w:val="4"/>
            <w:tcBorders>
              <w:top w:val="single" w:sz="4" w:space="0" w:color="000000"/>
              <w:left w:val="single" w:sz="4" w:space="0" w:color="000000"/>
              <w:bottom w:val="single" w:sz="4" w:space="0" w:color="000000"/>
              <w:right w:val="single" w:sz="4" w:space="0" w:color="000000"/>
            </w:tcBorders>
          </w:tcPr>
          <w:p w:rsidR="00BE11A1" w:rsidRPr="00991856" w:rsidRDefault="00BE11A1" w:rsidP="00BE11A1">
            <w:pPr>
              <w:widowControl w:val="0"/>
              <w:ind w:left="3" w:hanging="3"/>
              <w:jc w:val="center"/>
              <w:rPr>
                <w:rFonts w:ascii="Trebuchet MS" w:hAnsi="Trebuchet MS"/>
                <w:sz w:val="22"/>
                <w:szCs w:val="22"/>
              </w:rPr>
            </w:pPr>
            <w:r w:rsidRPr="00991856">
              <w:rPr>
                <w:rFonts w:ascii="Trebuchet MS" w:hAnsi="Trebuchet MS" w:cs="Trebuchet MS"/>
                <w:bCs/>
                <w:sz w:val="22"/>
                <w:szCs w:val="22"/>
              </w:rPr>
              <w:t>Competențe necesare exercitării funcției publice</w:t>
            </w:r>
          </w:p>
        </w:tc>
      </w:tr>
      <w:tr w:rsidR="00BE11A1" w:rsidRPr="007E1747" w:rsidTr="00F319FE">
        <w:trPr>
          <w:trHeight w:val="260"/>
        </w:trPr>
        <w:tc>
          <w:tcPr>
            <w:tcW w:w="3420" w:type="dxa"/>
            <w:gridSpan w:val="2"/>
            <w:vMerge w:val="restart"/>
            <w:tcBorders>
              <w:left w:val="single" w:sz="4" w:space="0" w:color="000000"/>
              <w:bottom w:val="single" w:sz="4" w:space="0" w:color="000000"/>
            </w:tcBorders>
          </w:tcPr>
          <w:p w:rsidR="00BE11A1" w:rsidRPr="00991856" w:rsidRDefault="00BE11A1" w:rsidP="00DD000B">
            <w:pPr>
              <w:widowControl w:val="0"/>
              <w:ind w:left="3" w:hanging="3"/>
              <w:rPr>
                <w:rFonts w:ascii="Trebuchet MS" w:hAnsi="Trebuchet MS"/>
                <w:sz w:val="22"/>
                <w:szCs w:val="22"/>
              </w:rPr>
            </w:pPr>
            <w:r w:rsidRPr="00991856">
              <w:rPr>
                <w:rFonts w:ascii="Trebuchet MS" w:hAnsi="Trebuchet MS" w:cs="Trebuchet MS"/>
                <w:sz w:val="22"/>
                <w:szCs w:val="22"/>
              </w:rPr>
              <w:t>Competențe generale</w:t>
            </w: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jc w:val="center"/>
              <w:rPr>
                <w:rFonts w:ascii="Trebuchet MS" w:hAnsi="Trebuchet MS"/>
                <w:sz w:val="20"/>
                <w:szCs w:val="20"/>
              </w:rPr>
            </w:pPr>
            <w:r w:rsidRPr="007C2DA8">
              <w:rPr>
                <w:rFonts w:ascii="Trebuchet MS" w:hAnsi="Trebuchet MS" w:cs="Trebuchet MS"/>
                <w:sz w:val="20"/>
                <w:szCs w:val="20"/>
              </w:rPr>
              <w:t>Denumirea competenței generale</w:t>
            </w:r>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jc w:val="center"/>
              <w:rPr>
                <w:rFonts w:ascii="Trebuchet MS" w:hAnsi="Trebuchet MS"/>
                <w:sz w:val="20"/>
                <w:szCs w:val="20"/>
              </w:rPr>
            </w:pPr>
            <w:r w:rsidRPr="007C2DA8">
              <w:rPr>
                <w:rFonts w:ascii="Trebuchet MS" w:hAnsi="Trebuchet MS" w:cs="Trebuchet MS"/>
                <w:sz w:val="20"/>
                <w:szCs w:val="20"/>
              </w:rPr>
              <w:t>Nivelul de compexitate</w:t>
            </w:r>
          </w:p>
        </w:tc>
      </w:tr>
      <w:tr w:rsidR="00BE11A1" w:rsidRPr="007E1747" w:rsidTr="00F319FE">
        <w:trPr>
          <w:trHeight w:val="260"/>
        </w:trPr>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rPr>
                <w:rFonts w:ascii="Trebuchet MS" w:hAnsi="Trebuchet MS"/>
                <w:sz w:val="20"/>
                <w:szCs w:val="20"/>
              </w:rPr>
            </w:pPr>
            <w:r w:rsidRPr="007C2DA8">
              <w:rPr>
                <w:rFonts w:ascii="Trebuchet MS" w:hAnsi="Trebuchet MS" w:cs="Trebuchet MS"/>
                <w:sz w:val="20"/>
                <w:szCs w:val="20"/>
              </w:rPr>
              <w:t>1. Rezolvarea de probleme și luarea deciziilor</w:t>
            </w:r>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26304D">
            <w:pPr>
              <w:widowControl w:val="0"/>
              <w:rPr>
                <w:rFonts w:ascii="Trebuchet MS" w:hAnsi="Trebuchet MS"/>
                <w:sz w:val="20"/>
                <w:szCs w:val="20"/>
              </w:rPr>
            </w:pPr>
            <w:r w:rsidRPr="007C2DA8">
              <w:rPr>
                <w:rFonts w:ascii="Trebuchet MS" w:hAnsi="Trebuchet MS"/>
                <w:bCs/>
                <w:sz w:val="20"/>
                <w:szCs w:val="20"/>
                <w:lang w:val="ro-RO"/>
              </w:rPr>
              <w:t xml:space="preserve">Nivel </w:t>
            </w:r>
            <w:r w:rsidR="0026304D" w:rsidRPr="007C2DA8">
              <w:rPr>
                <w:rFonts w:ascii="Trebuchet MS" w:hAnsi="Trebuchet MS"/>
                <w:bCs/>
                <w:sz w:val="20"/>
                <w:szCs w:val="20"/>
                <w:lang w:val="ro-RO"/>
              </w:rPr>
              <w:t>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2. Inițiativă</w:t>
            </w:r>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3. Planificare și organizare</w:t>
            </w:r>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4. Comunicare</w:t>
            </w:r>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5. Lucru în echipă</w:t>
            </w:r>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6. Orientare către cetățean</w:t>
            </w:r>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26304D" w:rsidRPr="007E1747" w:rsidTr="00F319FE">
        <w:tc>
          <w:tcPr>
            <w:tcW w:w="3420" w:type="dxa"/>
            <w:gridSpan w:val="2"/>
            <w:vMerge/>
            <w:tcBorders>
              <w:top w:val="single" w:sz="4" w:space="0" w:color="000000"/>
              <w:left w:val="single" w:sz="4" w:space="0" w:color="000000"/>
              <w:bottom w:val="single" w:sz="4" w:space="0" w:color="000000"/>
            </w:tcBorders>
          </w:tcPr>
          <w:p w:rsidR="0026304D" w:rsidRPr="00991856" w:rsidRDefault="0026304D" w:rsidP="0026304D">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26304D" w:rsidRPr="007C2DA8" w:rsidRDefault="0026304D" w:rsidP="0026304D">
            <w:pPr>
              <w:widowControl w:val="0"/>
              <w:ind w:left="3" w:hanging="3"/>
              <w:rPr>
                <w:rFonts w:ascii="Trebuchet MS" w:hAnsi="Trebuchet MS"/>
                <w:sz w:val="20"/>
                <w:szCs w:val="20"/>
              </w:rPr>
            </w:pPr>
            <w:r w:rsidRPr="007C2DA8">
              <w:rPr>
                <w:rFonts w:ascii="Trebuchet MS" w:hAnsi="Trebuchet MS" w:cs="Trebuchet MS"/>
                <w:sz w:val="20"/>
                <w:szCs w:val="20"/>
              </w:rPr>
              <w:t>7. Integritate</w:t>
            </w:r>
          </w:p>
        </w:tc>
        <w:tc>
          <w:tcPr>
            <w:tcW w:w="2880" w:type="dxa"/>
            <w:tcBorders>
              <w:top w:val="single" w:sz="4" w:space="0" w:color="000000"/>
              <w:left w:val="single" w:sz="4" w:space="0" w:color="000000"/>
              <w:bottom w:val="single" w:sz="4" w:space="0" w:color="000000"/>
              <w:right w:val="single" w:sz="4" w:space="0" w:color="000000"/>
            </w:tcBorders>
          </w:tcPr>
          <w:p w:rsidR="0026304D" w:rsidRPr="007C2DA8" w:rsidRDefault="0026304D" w:rsidP="0026304D">
            <w:pPr>
              <w:rPr>
                <w:sz w:val="20"/>
                <w:szCs w:val="20"/>
              </w:rPr>
            </w:pPr>
            <w:r w:rsidRPr="007C2DA8">
              <w:rPr>
                <w:rFonts w:ascii="Trebuchet MS" w:hAnsi="Trebuchet MS"/>
                <w:bCs/>
                <w:sz w:val="20"/>
                <w:szCs w:val="20"/>
                <w:lang w:val="ro-RO"/>
              </w:rPr>
              <w:t>Nivel operațional</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rPr>
                <w:rFonts w:ascii="Trebuchet MS" w:hAnsi="Trebuchet MS"/>
                <w:sz w:val="20"/>
                <w:szCs w:val="20"/>
              </w:rPr>
            </w:pPr>
            <w:r w:rsidRPr="007C2DA8">
              <w:rPr>
                <w:rFonts w:ascii="Trebuchet MS" w:hAnsi="Trebuchet MS" w:cs="Trebuchet MS"/>
                <w:sz w:val="20"/>
                <w:szCs w:val="20"/>
              </w:rPr>
              <w:t>8. Managementul performanței</w:t>
            </w:r>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rPr>
                <w:rFonts w:ascii="Trebuchet MS" w:hAnsi="Trebuchet MS"/>
                <w:sz w:val="20"/>
                <w:szCs w:val="20"/>
              </w:rPr>
            </w:pPr>
            <w:r w:rsidRPr="007C2DA8">
              <w:rPr>
                <w:rFonts w:ascii="Trebuchet MS" w:hAnsi="Trebuchet MS" w:cs="Trebuchet MS"/>
                <w:sz w:val="20"/>
                <w:szCs w:val="20"/>
              </w:rPr>
              <w:t>9. Dezvoltarea echipei</w:t>
            </w:r>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rPr>
                <w:rFonts w:ascii="Trebuchet MS" w:hAnsi="Trebuchet MS"/>
                <w:sz w:val="20"/>
                <w:szCs w:val="20"/>
              </w:rPr>
            </w:pPr>
            <w:r w:rsidRPr="007C2DA8">
              <w:rPr>
                <w:rFonts w:ascii="Trebuchet MS" w:hAnsi="Trebuchet MS" w:cs="Trebuchet MS"/>
                <w:sz w:val="20"/>
                <w:szCs w:val="20"/>
              </w:rPr>
              <w:t>10. Generarea angajamentului</w:t>
            </w:r>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rPr>
              <w:t>-</w:t>
            </w:r>
          </w:p>
        </w:tc>
      </w:tr>
      <w:tr w:rsidR="00BE11A1" w:rsidRPr="007E1747" w:rsidTr="00F319FE">
        <w:tc>
          <w:tcPr>
            <w:tcW w:w="3420" w:type="dxa"/>
            <w:gridSpan w:val="2"/>
            <w:vMerge/>
            <w:tcBorders>
              <w:top w:val="single" w:sz="4" w:space="0" w:color="000000"/>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ind w:left="3" w:hanging="3"/>
              <w:rPr>
                <w:rFonts w:ascii="Trebuchet MS" w:hAnsi="Trebuchet MS"/>
                <w:sz w:val="20"/>
                <w:szCs w:val="20"/>
              </w:rPr>
            </w:pPr>
            <w:r w:rsidRPr="007C2DA8">
              <w:rPr>
                <w:rFonts w:ascii="Trebuchet MS" w:hAnsi="Trebuchet MS" w:cs="Trebuchet MS"/>
                <w:sz w:val="20"/>
                <w:szCs w:val="20"/>
              </w:rPr>
              <w:t>11. Promovarea inovației și inițierea schimbării</w:t>
            </w:r>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rPr>
              <w:t>-</w:t>
            </w:r>
          </w:p>
        </w:tc>
      </w:tr>
      <w:tr w:rsidR="00BE11A1" w:rsidRPr="007E1747" w:rsidTr="00F319FE">
        <w:tc>
          <w:tcPr>
            <w:tcW w:w="3420" w:type="dxa"/>
            <w:gridSpan w:val="2"/>
            <w:vMerge w:val="restart"/>
            <w:tcBorders>
              <w:top w:val="single" w:sz="4" w:space="0" w:color="000000"/>
              <w:left w:val="single" w:sz="4" w:space="0" w:color="000000"/>
              <w:bottom w:val="single" w:sz="4" w:space="0" w:color="000000"/>
            </w:tcBorders>
          </w:tcPr>
          <w:p w:rsidR="00BE11A1" w:rsidRPr="00991856" w:rsidRDefault="00BE11A1" w:rsidP="00BE11A1">
            <w:pPr>
              <w:widowControl w:val="0"/>
              <w:ind w:left="3" w:hanging="3"/>
              <w:rPr>
                <w:rFonts w:ascii="Trebuchet MS" w:hAnsi="Trebuchet MS"/>
                <w:sz w:val="22"/>
                <w:szCs w:val="22"/>
              </w:rPr>
            </w:pPr>
            <w:r w:rsidRPr="00991856">
              <w:rPr>
                <w:rFonts w:ascii="Trebuchet MS" w:hAnsi="Trebuchet MS" w:cs="Trebuchet MS"/>
                <w:sz w:val="22"/>
                <w:szCs w:val="22"/>
              </w:rPr>
              <w:t>Competențe specifice</w:t>
            </w: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DD000B">
            <w:pPr>
              <w:widowControl w:val="0"/>
              <w:ind w:left="3" w:hanging="3"/>
              <w:rPr>
                <w:rFonts w:ascii="Trebuchet MS" w:hAnsi="Trebuchet MS"/>
                <w:sz w:val="20"/>
                <w:szCs w:val="20"/>
                <w:lang w:val="fr-FR"/>
              </w:rPr>
            </w:pPr>
            <w:r w:rsidRPr="007C2DA8">
              <w:rPr>
                <w:rFonts w:ascii="Trebuchet MS" w:hAnsi="Trebuchet MS" w:cs="Trebuchet MS"/>
                <w:sz w:val="20"/>
                <w:szCs w:val="20"/>
                <w:lang w:val="fr-FR"/>
              </w:rPr>
              <w:t>Competențe lingvistice de comunicare în limbi străine</w:t>
            </w:r>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lang w:val="ro-RO"/>
              </w:rPr>
              <w:t>-</w:t>
            </w:r>
          </w:p>
        </w:tc>
      </w:tr>
      <w:tr w:rsidR="00BE11A1" w:rsidRPr="007E1747" w:rsidTr="00F319FE">
        <w:tc>
          <w:tcPr>
            <w:tcW w:w="3420" w:type="dxa"/>
            <w:gridSpan w:val="2"/>
            <w:vMerge/>
            <w:tcBorders>
              <w:left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DD000B">
            <w:pPr>
              <w:widowControl w:val="0"/>
              <w:ind w:left="3" w:hanging="3"/>
              <w:rPr>
                <w:rFonts w:ascii="Trebuchet MS" w:hAnsi="Trebuchet MS"/>
                <w:sz w:val="20"/>
                <w:szCs w:val="20"/>
              </w:rPr>
            </w:pPr>
            <w:r w:rsidRPr="007C2DA8">
              <w:rPr>
                <w:rFonts w:ascii="Trebuchet MS" w:hAnsi="Trebuchet MS" w:cs="Trebuchet MS"/>
                <w:sz w:val="20"/>
                <w:szCs w:val="20"/>
              </w:rPr>
              <w:t>Competențe lingvistice în limba minorității naționale</w:t>
            </w:r>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BE11A1">
            <w:pPr>
              <w:widowControl w:val="0"/>
              <w:rPr>
                <w:rFonts w:ascii="Trebuchet MS" w:hAnsi="Trebuchet MS"/>
                <w:sz w:val="20"/>
                <w:szCs w:val="20"/>
              </w:rPr>
            </w:pPr>
            <w:r w:rsidRPr="007C2DA8">
              <w:rPr>
                <w:rFonts w:ascii="Trebuchet MS" w:hAnsi="Trebuchet MS"/>
                <w:sz w:val="20"/>
                <w:szCs w:val="20"/>
              </w:rPr>
              <w:t>-</w:t>
            </w:r>
          </w:p>
        </w:tc>
      </w:tr>
      <w:tr w:rsidR="00BE11A1" w:rsidRPr="004457D3" w:rsidTr="00F319FE">
        <w:tc>
          <w:tcPr>
            <w:tcW w:w="3420" w:type="dxa"/>
            <w:gridSpan w:val="2"/>
            <w:vMerge/>
            <w:tcBorders>
              <w:left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DD000B">
            <w:pPr>
              <w:widowControl w:val="0"/>
              <w:ind w:left="3" w:hanging="3"/>
              <w:rPr>
                <w:rFonts w:ascii="Trebuchet MS" w:hAnsi="Trebuchet MS"/>
                <w:sz w:val="20"/>
                <w:szCs w:val="20"/>
                <w:lang w:val="fr-FR"/>
              </w:rPr>
            </w:pPr>
            <w:r w:rsidRPr="007C2DA8">
              <w:rPr>
                <w:rFonts w:ascii="Trebuchet MS" w:hAnsi="Trebuchet MS" w:cs="Trebuchet MS"/>
                <w:sz w:val="20"/>
                <w:szCs w:val="20"/>
                <w:lang w:val="fr-FR"/>
              </w:rPr>
              <w:t xml:space="preserve">Competențe </w:t>
            </w:r>
            <w:r w:rsidR="00DD000B" w:rsidRPr="007C2DA8">
              <w:rPr>
                <w:rFonts w:ascii="Trebuchet MS" w:hAnsi="Trebuchet MS" w:cs="Trebuchet MS"/>
                <w:sz w:val="20"/>
                <w:szCs w:val="20"/>
                <w:lang w:val="fr-FR"/>
              </w:rPr>
              <w:t>digitale</w:t>
            </w:r>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264F54">
            <w:pPr>
              <w:widowControl w:val="0"/>
              <w:ind w:left="-49"/>
              <w:rPr>
                <w:rFonts w:ascii="Trebuchet MS" w:hAnsi="Trebuchet MS"/>
                <w:sz w:val="20"/>
                <w:szCs w:val="20"/>
              </w:rPr>
            </w:pPr>
          </w:p>
        </w:tc>
      </w:tr>
      <w:tr w:rsidR="00BE11A1" w:rsidRPr="007E1747" w:rsidTr="00F319FE">
        <w:trPr>
          <w:trHeight w:val="612"/>
        </w:trPr>
        <w:tc>
          <w:tcPr>
            <w:tcW w:w="3420" w:type="dxa"/>
            <w:gridSpan w:val="2"/>
            <w:vMerge/>
            <w:tcBorders>
              <w:left w:val="single" w:sz="4" w:space="0" w:color="000000"/>
              <w:bottom w:val="single" w:sz="4" w:space="0" w:color="000000"/>
            </w:tcBorders>
          </w:tcPr>
          <w:p w:rsidR="00BE11A1" w:rsidRPr="00991856" w:rsidRDefault="00BE11A1" w:rsidP="00BE11A1">
            <w:pPr>
              <w:widowControl w:val="0"/>
              <w:rPr>
                <w:rFonts w:ascii="Trebuchet MS" w:hAnsi="Trebuchet MS"/>
                <w:sz w:val="22"/>
                <w:szCs w:val="22"/>
              </w:rPr>
            </w:pPr>
          </w:p>
        </w:tc>
        <w:tc>
          <w:tcPr>
            <w:tcW w:w="396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BE11A1" w:rsidP="00DD000B">
            <w:pPr>
              <w:widowControl w:val="0"/>
              <w:ind w:left="3" w:hanging="3"/>
              <w:rPr>
                <w:rFonts w:ascii="Trebuchet MS" w:hAnsi="Trebuchet MS"/>
                <w:sz w:val="20"/>
                <w:szCs w:val="20"/>
              </w:rPr>
            </w:pPr>
            <w:r w:rsidRPr="007C2DA8">
              <w:rPr>
                <w:rFonts w:ascii="Trebuchet MS" w:hAnsi="Trebuchet MS" w:cs="Trebuchet MS"/>
                <w:sz w:val="20"/>
                <w:szCs w:val="20"/>
              </w:rPr>
              <w:t>Alte competențe specifice</w:t>
            </w:r>
          </w:p>
        </w:tc>
        <w:tc>
          <w:tcPr>
            <w:tcW w:w="2880" w:type="dxa"/>
            <w:tcBorders>
              <w:top w:val="single" w:sz="4" w:space="0" w:color="000000"/>
              <w:left w:val="single" w:sz="4" w:space="0" w:color="000000"/>
              <w:bottom w:val="single" w:sz="4" w:space="0" w:color="000000"/>
              <w:right w:val="single" w:sz="4" w:space="0" w:color="000000"/>
            </w:tcBorders>
            <w:vAlign w:val="center"/>
          </w:tcPr>
          <w:p w:rsidR="00BE11A1" w:rsidRPr="007C2DA8" w:rsidRDefault="00D42A3E" w:rsidP="001C6F91">
            <w:pPr>
              <w:widowControl w:val="0"/>
              <w:rPr>
                <w:rFonts w:ascii="Trebuchet MS" w:hAnsi="Trebuchet MS"/>
                <w:sz w:val="20"/>
                <w:szCs w:val="20"/>
              </w:rPr>
            </w:pPr>
            <w:r>
              <w:rPr>
                <w:rFonts w:ascii="Trebuchet MS" w:hAnsi="Trebuchet MS"/>
                <w:sz w:val="20"/>
                <w:szCs w:val="20"/>
              </w:rPr>
              <w:t>A</w:t>
            </w:r>
            <w:r w:rsidR="00A94742" w:rsidRPr="00A94742">
              <w:rPr>
                <w:rFonts w:ascii="Trebuchet MS" w:hAnsi="Trebuchet MS"/>
                <w:sz w:val="20"/>
                <w:szCs w:val="20"/>
              </w:rPr>
              <w:t>dministra</w:t>
            </w:r>
            <w:r>
              <w:rPr>
                <w:rFonts w:ascii="Trebuchet MS" w:hAnsi="Trebuchet MS"/>
                <w:sz w:val="20"/>
                <w:szCs w:val="20"/>
              </w:rPr>
              <w:t>re</w:t>
            </w:r>
            <w:r w:rsidR="00A94742" w:rsidRPr="00A94742">
              <w:rPr>
                <w:rFonts w:ascii="Trebuchet MS" w:hAnsi="Trebuchet MS"/>
                <w:sz w:val="20"/>
                <w:szCs w:val="20"/>
              </w:rPr>
              <w:t xml:space="preserve"> aplicații informatice</w:t>
            </w:r>
          </w:p>
        </w:tc>
      </w:tr>
      <w:tr w:rsidR="00BE11A1" w:rsidRPr="00DB580B" w:rsidTr="00E57CA5">
        <w:tc>
          <w:tcPr>
            <w:tcW w:w="10260" w:type="dxa"/>
            <w:gridSpan w:val="4"/>
            <w:tcBorders>
              <w:top w:val="single" w:sz="4" w:space="0" w:color="000000"/>
              <w:left w:val="single" w:sz="4" w:space="0" w:color="000000"/>
              <w:bottom w:val="single" w:sz="4" w:space="0" w:color="auto"/>
              <w:right w:val="single" w:sz="4" w:space="0" w:color="000000"/>
            </w:tcBorders>
            <w:vAlign w:val="center"/>
          </w:tcPr>
          <w:p w:rsidR="00BE11A1" w:rsidRPr="00DB580B" w:rsidRDefault="00BE11A1" w:rsidP="00BE11A1">
            <w:pPr>
              <w:widowControl w:val="0"/>
              <w:jc w:val="center"/>
              <w:rPr>
                <w:rFonts w:ascii="Trebuchet MS" w:hAnsi="Trebuchet MS"/>
                <w:sz w:val="22"/>
                <w:szCs w:val="22"/>
                <w:lang w:val="fr-FR"/>
              </w:rPr>
            </w:pPr>
            <w:r w:rsidRPr="00DB580B">
              <w:rPr>
                <w:rFonts w:ascii="Trebuchet MS" w:hAnsi="Trebuchet MS" w:cs="Trebuchet MS"/>
                <w:b/>
                <w:sz w:val="22"/>
                <w:szCs w:val="22"/>
                <w:lang w:val="fr-FR"/>
              </w:rPr>
              <w:t>Sfera relațională a titularului postului</w:t>
            </w:r>
          </w:p>
          <w:p w:rsidR="00BE11A1" w:rsidRPr="00DB580B" w:rsidRDefault="00BE11A1" w:rsidP="00BE11A1">
            <w:pPr>
              <w:widowControl w:val="0"/>
              <w:jc w:val="center"/>
              <w:rPr>
                <w:rFonts w:ascii="Trebuchet MS" w:hAnsi="Trebuchet MS"/>
                <w:b/>
                <w:sz w:val="22"/>
                <w:szCs w:val="22"/>
                <w:lang w:val="fr-FR"/>
              </w:rPr>
            </w:pPr>
          </w:p>
        </w:tc>
      </w:tr>
      <w:tr w:rsidR="00BE11A1" w:rsidRPr="007E1747" w:rsidTr="00F319FE">
        <w:trPr>
          <w:trHeight w:val="90"/>
        </w:trPr>
        <w:tc>
          <w:tcPr>
            <w:tcW w:w="1350" w:type="dxa"/>
            <w:vMerge w:val="restart"/>
            <w:tcBorders>
              <w:top w:val="single" w:sz="4" w:space="0" w:color="auto"/>
              <w:left w:val="single" w:sz="4" w:space="0" w:color="auto"/>
              <w:right w:val="single" w:sz="4" w:space="0" w:color="auto"/>
            </w:tcBorders>
          </w:tcPr>
          <w:p w:rsidR="00BE11A1" w:rsidRPr="00991856" w:rsidRDefault="00BE11A1" w:rsidP="00BE11A1">
            <w:pPr>
              <w:widowControl w:val="0"/>
              <w:ind w:left="3" w:right="-132" w:hanging="3"/>
              <w:rPr>
                <w:rFonts w:ascii="Trebuchet MS" w:hAnsi="Trebuchet MS"/>
                <w:sz w:val="22"/>
                <w:szCs w:val="22"/>
              </w:rPr>
            </w:pPr>
            <w:r w:rsidRPr="00991856">
              <w:rPr>
                <w:rFonts w:ascii="Trebuchet MS" w:hAnsi="Trebuchet MS" w:cs="Trebuchet MS"/>
                <w:sz w:val="22"/>
                <w:szCs w:val="22"/>
              </w:rPr>
              <w:t>Sfera relațională internă</w:t>
            </w: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r w:rsidRPr="00991856">
              <w:rPr>
                <w:rFonts w:ascii="Trebuchet MS" w:hAnsi="Trebuchet MS" w:cs="Trebuchet MS"/>
                <w:sz w:val="22"/>
                <w:szCs w:val="22"/>
              </w:rPr>
              <w:t>Relații ierarhice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 xml:space="preserve">- subordonat față de: șef </w:t>
            </w:r>
            <w:r>
              <w:rPr>
                <w:rFonts w:ascii="Trebuchet MS" w:hAnsi="Trebuchet MS"/>
                <w:sz w:val="22"/>
                <w:szCs w:val="22"/>
              </w:rPr>
              <w:t>serviciu</w:t>
            </w:r>
          </w:p>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 xml:space="preserve"> -superior pentru: - </w:t>
            </w:r>
          </w:p>
        </w:tc>
      </w:tr>
      <w:tr w:rsidR="00BE11A1" w:rsidRPr="00A51C04" w:rsidTr="00F319FE">
        <w:tc>
          <w:tcPr>
            <w:tcW w:w="1350" w:type="dxa"/>
            <w:vMerge/>
            <w:tcBorders>
              <w:left w:val="single" w:sz="4" w:space="0" w:color="auto"/>
              <w:right w:val="single" w:sz="4" w:space="0" w:color="auto"/>
            </w:tcBorders>
          </w:tcPr>
          <w:p w:rsidR="00BE11A1" w:rsidRPr="00991856" w:rsidRDefault="00BE11A1" w:rsidP="00BE11A1">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r w:rsidRPr="00991856">
              <w:rPr>
                <w:rFonts w:ascii="Trebuchet MS" w:hAnsi="Trebuchet MS" w:cs="Trebuchet MS"/>
                <w:sz w:val="22"/>
                <w:szCs w:val="22"/>
              </w:rPr>
              <w:t>Relații funcționale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7C2DA8" w:rsidRDefault="00BE11A1" w:rsidP="00BE11A1">
            <w:pPr>
              <w:widowControl w:val="0"/>
              <w:tabs>
                <w:tab w:val="center" w:pos="4536"/>
                <w:tab w:val="right" w:pos="9072"/>
              </w:tabs>
              <w:rPr>
                <w:rFonts w:ascii="Trebuchet MS" w:hAnsi="Trebuchet MS"/>
                <w:sz w:val="20"/>
                <w:szCs w:val="20"/>
                <w:lang w:val="fr-FR"/>
              </w:rPr>
            </w:pPr>
            <w:r w:rsidRPr="007C2DA8">
              <w:rPr>
                <w:rFonts w:ascii="Trebuchet MS" w:hAnsi="Trebuchet MS" w:cs="Arial"/>
                <w:kern w:val="0"/>
                <w:sz w:val="20"/>
                <w:szCs w:val="20"/>
                <w:lang w:val="pt-BR" w:bidi="ar-SA"/>
              </w:rPr>
              <w:t>cu celelalte direcții, servicii şi compartimente din cadrul Centrului Național pentru Informații Financiare, cu celelalte structuri organizaționale din MF şi instituțiile din subordine pentru proiectele specifice</w:t>
            </w:r>
          </w:p>
        </w:tc>
      </w:tr>
      <w:tr w:rsidR="00BE11A1" w:rsidRPr="007E1747" w:rsidTr="00F319FE">
        <w:tc>
          <w:tcPr>
            <w:tcW w:w="1350" w:type="dxa"/>
            <w:vMerge/>
            <w:tcBorders>
              <w:left w:val="single" w:sz="4" w:space="0" w:color="auto"/>
              <w:right w:val="single" w:sz="4" w:space="0" w:color="auto"/>
            </w:tcBorders>
          </w:tcPr>
          <w:p w:rsidR="00BE11A1" w:rsidRPr="00991856" w:rsidRDefault="00BE11A1" w:rsidP="00BE11A1">
            <w:pPr>
              <w:widowControl w:val="0"/>
              <w:rPr>
                <w:rFonts w:ascii="Trebuchet MS" w:hAnsi="Trebuchet MS"/>
                <w:sz w:val="22"/>
                <w:szCs w:val="22"/>
                <w:lang w:val="fr-FR"/>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r w:rsidRPr="00991856">
              <w:rPr>
                <w:rFonts w:ascii="Trebuchet MS" w:hAnsi="Trebuchet MS" w:cs="Trebuchet MS"/>
                <w:sz w:val="22"/>
                <w:szCs w:val="22"/>
              </w:rPr>
              <w:t>Relații de control</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r w:rsidR="00BE11A1" w:rsidRPr="007E1747" w:rsidTr="00F319FE">
        <w:trPr>
          <w:trHeight w:val="554"/>
        </w:trPr>
        <w:tc>
          <w:tcPr>
            <w:tcW w:w="1350" w:type="dxa"/>
            <w:tcBorders>
              <w:left w:val="single" w:sz="4" w:space="0" w:color="auto"/>
              <w:bottom w:val="single" w:sz="4" w:space="0" w:color="auto"/>
              <w:right w:val="single" w:sz="4" w:space="0" w:color="auto"/>
            </w:tcBorders>
          </w:tcPr>
          <w:p w:rsidR="00BE11A1" w:rsidRPr="00991856" w:rsidRDefault="00BE11A1" w:rsidP="00BE11A1">
            <w:pPr>
              <w:widowControl w:val="0"/>
              <w:rPr>
                <w:rFonts w:ascii="Trebuchet MS" w:hAnsi="Trebuchet MS"/>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ind w:left="3" w:right="-68" w:hanging="3"/>
              <w:rPr>
                <w:rFonts w:ascii="Trebuchet MS" w:hAnsi="Trebuchet MS"/>
                <w:sz w:val="22"/>
                <w:szCs w:val="22"/>
              </w:rPr>
            </w:pPr>
            <w:r w:rsidRPr="00991856">
              <w:rPr>
                <w:rFonts w:ascii="Trebuchet MS" w:hAnsi="Trebuchet MS" w:cs="Trebuchet MS"/>
                <w:sz w:val="22"/>
                <w:szCs w:val="22"/>
              </w:rPr>
              <w:t xml:space="preserve">Relații de reprezentare </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BE11A1" w:rsidRPr="00991856" w:rsidRDefault="00BE11A1" w:rsidP="00BE11A1">
            <w:pPr>
              <w:widowControl w:val="0"/>
              <w:rPr>
                <w:rFonts w:ascii="Trebuchet MS" w:hAnsi="Trebuchet MS"/>
                <w:sz w:val="22"/>
                <w:szCs w:val="22"/>
              </w:rPr>
            </w:pPr>
            <w:r w:rsidRPr="00991856">
              <w:rPr>
                <w:rFonts w:ascii="Trebuchet MS" w:hAnsi="Trebuchet MS"/>
                <w:sz w:val="22"/>
                <w:szCs w:val="22"/>
              </w:rPr>
              <w:t>-</w:t>
            </w:r>
          </w:p>
        </w:tc>
      </w:tr>
    </w:tbl>
    <w:p w:rsidR="00E57CA5" w:rsidRPr="007E1747" w:rsidRDefault="00E57CA5" w:rsidP="007E1747">
      <w:pPr>
        <w:spacing w:before="60"/>
        <w:ind w:right="370"/>
        <w:jc w:val="both"/>
        <w:rPr>
          <w:rFonts w:ascii="Trebuchet MS" w:hAnsi="Trebuchet MS" w:cs="Trebuchet MS"/>
          <w:sz w:val="20"/>
          <w:szCs w:val="20"/>
        </w:rPr>
      </w:pPr>
    </w:p>
    <w:tbl>
      <w:tblPr>
        <w:tblpPr w:leftFromText="180" w:rightFromText="180" w:vertAnchor="text" w:horzAnchor="page" w:tblpX="1091" w:tblpY="266"/>
        <w:tblW w:w="10345" w:type="dxa"/>
        <w:tblLayout w:type="fixed"/>
        <w:tblLook w:val="0000" w:firstRow="0" w:lastRow="0" w:firstColumn="0" w:lastColumn="0" w:noHBand="0" w:noVBand="0"/>
      </w:tblPr>
      <w:tblGrid>
        <w:gridCol w:w="1409"/>
        <w:gridCol w:w="1575"/>
        <w:gridCol w:w="13"/>
        <w:gridCol w:w="7348"/>
      </w:tblGrid>
      <w:tr w:rsidR="001A46EF" w:rsidRPr="00A51C04" w:rsidTr="007E1747">
        <w:tc>
          <w:tcPr>
            <w:tcW w:w="1409" w:type="dxa"/>
            <w:vMerge w:val="restart"/>
            <w:tcBorders>
              <w:top w:val="single" w:sz="4" w:space="0" w:color="000000"/>
              <w:left w:val="single" w:sz="4" w:space="0" w:color="000000"/>
            </w:tcBorders>
          </w:tcPr>
          <w:p w:rsidR="001A46EF" w:rsidRPr="00991856" w:rsidRDefault="00A82173" w:rsidP="007E1747">
            <w:pPr>
              <w:widowControl w:val="0"/>
              <w:ind w:right="-188"/>
              <w:rPr>
                <w:rFonts w:ascii="Trebuchet MS" w:hAnsi="Trebuchet MS"/>
                <w:sz w:val="22"/>
                <w:szCs w:val="22"/>
              </w:rPr>
            </w:pPr>
            <w:r w:rsidRPr="00991856">
              <w:rPr>
                <w:rFonts w:ascii="Trebuchet MS" w:hAnsi="Trebuchet MS" w:cs="Trebuchet MS"/>
                <w:sz w:val="22"/>
                <w:szCs w:val="22"/>
              </w:rPr>
              <w:t>Sfera relațională externă cu</w:t>
            </w:r>
            <w:r w:rsidR="00E57CA5" w:rsidRPr="00991856">
              <w:rPr>
                <w:rFonts w:ascii="Trebuchet MS" w:hAnsi="Trebuchet MS" w:cs="Trebuchet MS"/>
                <w:sz w:val="22"/>
                <w:szCs w:val="22"/>
              </w:rPr>
              <w:t>:</w:t>
            </w: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ind w:left="3" w:right="-68" w:hanging="3"/>
              <w:rPr>
                <w:rFonts w:ascii="Trebuchet MS" w:hAnsi="Trebuchet MS"/>
                <w:sz w:val="22"/>
                <w:szCs w:val="22"/>
              </w:rPr>
            </w:pPr>
            <w:r w:rsidRPr="00991856">
              <w:rPr>
                <w:rFonts w:ascii="Trebuchet MS" w:hAnsi="Trebuchet MS" w:cs="Trebuchet MS"/>
                <w:sz w:val="22"/>
                <w:szCs w:val="22"/>
              </w:rPr>
              <w:t>Autorități și instituții publice</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1C08CF" w:rsidRDefault="00A82173" w:rsidP="007E1747">
            <w:pPr>
              <w:widowControl w:val="0"/>
              <w:rPr>
                <w:rFonts w:ascii="Trebuchet MS" w:hAnsi="Trebuchet MS"/>
                <w:sz w:val="22"/>
                <w:szCs w:val="22"/>
                <w:lang w:val="it-IT"/>
              </w:rPr>
            </w:pPr>
            <w:r w:rsidRPr="00991856">
              <w:rPr>
                <w:rFonts w:ascii="Trebuchet MS" w:hAnsi="Trebuchet MS"/>
                <w:sz w:val="22"/>
                <w:szCs w:val="22"/>
                <w:lang w:val="fr-FR"/>
              </w:rPr>
              <w:t>colaborare pentru proiecte de interes comun cu ministere, autorități publice, agenții, alte instituții, pen</w:t>
            </w:r>
            <w:r w:rsidR="001C08CF">
              <w:rPr>
                <w:rFonts w:ascii="Trebuchet MS" w:hAnsi="Trebuchet MS"/>
                <w:sz w:val="22"/>
                <w:szCs w:val="22"/>
                <w:lang w:val="fr-FR"/>
              </w:rPr>
              <w:t>tru atingerea scopului postului</w:t>
            </w:r>
            <w:r w:rsidRPr="00991856">
              <w:rPr>
                <w:rFonts w:ascii="Trebuchet MS" w:hAnsi="Trebuchet MS"/>
                <w:sz w:val="22"/>
                <w:szCs w:val="22"/>
                <w:lang w:val="fr-FR"/>
              </w:rPr>
              <w:t>, potrivit Regulamentului de organizare și funcționare</w:t>
            </w:r>
          </w:p>
        </w:tc>
      </w:tr>
      <w:tr w:rsidR="001A46EF" w:rsidRPr="007E1747" w:rsidTr="007E1747">
        <w:tc>
          <w:tcPr>
            <w:tcW w:w="1409" w:type="dxa"/>
            <w:vMerge/>
            <w:tcBorders>
              <w:left w:val="single" w:sz="4" w:space="0" w:color="000000"/>
            </w:tcBorders>
          </w:tcPr>
          <w:p w:rsidR="001A46EF" w:rsidRPr="00991856" w:rsidRDefault="001A46EF" w:rsidP="007E1747">
            <w:pPr>
              <w:widowControl w:val="0"/>
              <w:rPr>
                <w:rFonts w:ascii="Trebuchet MS" w:hAnsi="Trebuchet MS"/>
                <w:sz w:val="22"/>
                <w:szCs w:val="22"/>
                <w:lang w:val="fr-FR"/>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ind w:left="3" w:right="-68" w:hanging="3"/>
              <w:rPr>
                <w:rFonts w:ascii="Trebuchet MS" w:hAnsi="Trebuchet MS"/>
                <w:sz w:val="22"/>
                <w:szCs w:val="22"/>
              </w:rPr>
            </w:pPr>
            <w:r w:rsidRPr="00991856">
              <w:rPr>
                <w:rFonts w:ascii="Trebuchet MS" w:hAnsi="Trebuchet MS" w:cs="Trebuchet MS"/>
                <w:sz w:val="22"/>
                <w:szCs w:val="22"/>
              </w:rPr>
              <w:t>Organizații internaționale</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tabs>
                <w:tab w:val="center" w:pos="4536"/>
                <w:tab w:val="right" w:pos="9072"/>
              </w:tabs>
              <w:rPr>
                <w:rFonts w:ascii="Trebuchet MS" w:hAnsi="Trebuchet MS"/>
                <w:sz w:val="22"/>
                <w:szCs w:val="22"/>
              </w:rPr>
            </w:pPr>
            <w:r w:rsidRPr="00991856">
              <w:rPr>
                <w:rFonts w:ascii="Trebuchet MS" w:hAnsi="Trebuchet MS" w:cs="Arial"/>
                <w:kern w:val="0"/>
                <w:sz w:val="22"/>
                <w:szCs w:val="22"/>
                <w:lang w:val="it-IT" w:bidi="ar-SA"/>
              </w:rPr>
              <w:t>organizații, care au profil de tehnologia informației, care finanțează anumite programe derulate în cadrul MF – CNIF sau care monitorizează/auditează/</w:t>
            </w:r>
            <w:r w:rsidR="00B94F4F" w:rsidRPr="00991856">
              <w:rPr>
                <w:rFonts w:ascii="Trebuchet MS" w:hAnsi="Trebuchet MS" w:cs="Arial"/>
                <w:kern w:val="0"/>
                <w:sz w:val="22"/>
                <w:szCs w:val="22"/>
                <w:lang w:val="it-IT" w:bidi="ar-SA"/>
              </w:rPr>
              <w:t xml:space="preserve"> </w:t>
            </w:r>
            <w:r w:rsidRPr="00991856">
              <w:rPr>
                <w:rFonts w:ascii="Trebuchet MS" w:hAnsi="Trebuchet MS" w:cs="Arial"/>
                <w:kern w:val="0"/>
                <w:sz w:val="22"/>
                <w:szCs w:val="22"/>
                <w:lang w:val="it-IT" w:bidi="ar-SA"/>
              </w:rPr>
              <w:t>controlează activitatea MF - CNIF pentru schimb de informaţii, potrivit deciziilor managementului superior, în scopul îndeplinirii sarcinilor de serviciu</w:t>
            </w:r>
          </w:p>
        </w:tc>
      </w:tr>
      <w:tr w:rsidR="001A46EF" w:rsidRPr="007E1747" w:rsidTr="007E1747">
        <w:tc>
          <w:tcPr>
            <w:tcW w:w="1409" w:type="dxa"/>
            <w:vMerge/>
            <w:tcBorders>
              <w:left w:val="single" w:sz="4" w:space="0" w:color="000000"/>
            </w:tcBorders>
          </w:tcPr>
          <w:p w:rsidR="001A46EF" w:rsidRPr="00991856" w:rsidRDefault="001A46EF" w:rsidP="007E1747">
            <w:pPr>
              <w:widowControl w:val="0"/>
              <w:rPr>
                <w:rFonts w:ascii="Trebuchet MS" w:hAnsi="Trebuchet MS"/>
                <w:sz w:val="22"/>
                <w:szCs w:val="22"/>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ind w:left="3" w:right="-68" w:hanging="3"/>
              <w:rPr>
                <w:rFonts w:ascii="Trebuchet MS" w:hAnsi="Trebuchet MS"/>
                <w:sz w:val="22"/>
                <w:szCs w:val="22"/>
              </w:rPr>
            </w:pPr>
            <w:r w:rsidRPr="00991856">
              <w:rPr>
                <w:rFonts w:ascii="Trebuchet MS" w:hAnsi="Trebuchet MS" w:cs="Trebuchet MS"/>
                <w:sz w:val="22"/>
                <w:szCs w:val="22"/>
              </w:rPr>
              <w:t xml:space="preserve">Persoane juridice priviate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rPr>
                <w:rFonts w:ascii="Trebuchet MS" w:hAnsi="Trebuchet MS"/>
                <w:sz w:val="22"/>
                <w:szCs w:val="22"/>
              </w:rPr>
            </w:pPr>
            <w:r w:rsidRPr="00991856">
              <w:rPr>
                <w:rFonts w:ascii="Trebuchet MS" w:hAnsi="Trebuchet MS"/>
                <w:sz w:val="22"/>
                <w:szCs w:val="22"/>
              </w:rPr>
              <w:t xml:space="preserve">primește informații din domeniul tehnologiei informației și colaborează cu firme specializate în servicii de tehnologia informației, </w:t>
            </w:r>
            <w:r w:rsidRPr="00991856">
              <w:rPr>
                <w:rFonts w:ascii="Trebuchet MS" w:hAnsi="Trebuchet MS" w:cs="Arial"/>
                <w:kern w:val="0"/>
                <w:sz w:val="22"/>
                <w:szCs w:val="22"/>
                <w:lang w:val="it-IT" w:bidi="ar-SA"/>
              </w:rPr>
              <w:t>potrivit deciziilor managementului superior</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DD000B">
            <w:pPr>
              <w:widowControl w:val="0"/>
              <w:rPr>
                <w:rFonts w:ascii="Trebuchet MS" w:hAnsi="Trebuchet MS"/>
                <w:sz w:val="22"/>
                <w:szCs w:val="22"/>
              </w:rPr>
            </w:pPr>
            <w:r w:rsidRPr="00991856">
              <w:rPr>
                <w:rFonts w:ascii="Trebuchet MS" w:hAnsi="Trebuchet MS" w:cs="Trebuchet MS"/>
                <w:sz w:val="22"/>
                <w:szCs w:val="22"/>
              </w:rPr>
              <w:t>Libertatea decizională</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rPr>
                <w:rFonts w:ascii="Trebuchet MS" w:hAnsi="Trebuchet MS"/>
                <w:sz w:val="22"/>
                <w:szCs w:val="22"/>
              </w:rPr>
            </w:pPr>
            <w:r w:rsidRPr="00991856">
              <w:rPr>
                <w:rFonts w:ascii="Trebuchet MS" w:hAnsi="Trebuchet MS"/>
                <w:sz w:val="22"/>
                <w:szCs w:val="22"/>
              </w:rPr>
              <w:t>Potrivit regulamentelor interne și deciziilor managementului superior</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Delegarea de atribuții și competență</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7E1747">
            <w:pPr>
              <w:widowControl w:val="0"/>
              <w:jc w:val="both"/>
              <w:rPr>
                <w:rFonts w:ascii="Trebuchet MS" w:hAnsi="Trebuchet MS"/>
                <w:sz w:val="22"/>
                <w:szCs w:val="22"/>
              </w:rPr>
            </w:pPr>
            <w:r w:rsidRPr="00991856">
              <w:rPr>
                <w:rFonts w:ascii="Trebuchet MS" w:hAnsi="Trebuchet MS" w:cs="Trebuchet MS"/>
                <w:sz w:val="22"/>
                <w:szCs w:val="22"/>
                <w:lang w:val="ro-RO"/>
              </w:rPr>
              <w:t xml:space="preserve">Delegarea de atribuţii corespunzătoare titularului postului pe perioada concediului în condiţiile legii sau pe perioada în care acesta se află în  deplasare în interesul serviciului se realizează conform cererii de concediu de odihnă/ notei interne şi/sau </w:t>
            </w:r>
            <w:r w:rsidRPr="00991856">
              <w:rPr>
                <w:rFonts w:ascii="Trebuchet MS" w:eastAsia="Calibri" w:hAnsi="Trebuchet MS" w:cs="Trebuchet MS"/>
                <w:color w:val="000000"/>
                <w:sz w:val="22"/>
                <w:szCs w:val="22"/>
                <w:lang w:val="ro-RO"/>
              </w:rPr>
              <w:t>a planului permanent  de înlocuire a angajaţilor.</w:t>
            </w:r>
          </w:p>
        </w:tc>
      </w:tr>
      <w:tr w:rsidR="001A46EF" w:rsidRPr="007E1747" w:rsidTr="007E1747">
        <w:tc>
          <w:tcPr>
            <w:tcW w:w="10345" w:type="dxa"/>
            <w:gridSpan w:val="4"/>
            <w:tcBorders>
              <w:top w:val="single" w:sz="4" w:space="0" w:color="000000"/>
              <w:left w:val="single" w:sz="4" w:space="0" w:color="000000"/>
              <w:bottom w:val="single" w:sz="4" w:space="0" w:color="000000"/>
              <w:right w:val="single" w:sz="4" w:space="0" w:color="000000"/>
            </w:tcBorders>
          </w:tcPr>
          <w:p w:rsidR="007E1747" w:rsidRPr="001C08CF" w:rsidRDefault="00A82173" w:rsidP="001C08CF">
            <w:pPr>
              <w:widowControl w:val="0"/>
              <w:jc w:val="center"/>
              <w:rPr>
                <w:rFonts w:ascii="Trebuchet MS" w:hAnsi="Trebuchet MS" w:cs="Trebuchet MS"/>
                <w:b/>
                <w:sz w:val="22"/>
                <w:szCs w:val="22"/>
                <w:vertAlign w:val="superscript"/>
              </w:rPr>
            </w:pPr>
            <w:r w:rsidRPr="00991856">
              <w:rPr>
                <w:rFonts w:ascii="Trebuchet MS" w:hAnsi="Trebuchet MS" w:cs="Trebuchet MS"/>
                <w:b/>
                <w:sz w:val="22"/>
                <w:szCs w:val="22"/>
              </w:rPr>
              <w:t>Întocmit</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Numele și prenumele</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C002CA" w:rsidP="002567F9">
            <w:pPr>
              <w:widowControl w:val="0"/>
              <w:rPr>
                <w:rFonts w:ascii="Trebuchet MS" w:hAnsi="Trebuchet MS"/>
                <w:sz w:val="22"/>
                <w:szCs w:val="22"/>
              </w:rPr>
            </w:pPr>
            <w:r>
              <w:rPr>
                <w:rFonts w:ascii="Trebuchet MS" w:hAnsi="Trebuchet MS"/>
                <w:sz w:val="22"/>
                <w:szCs w:val="22"/>
              </w:rPr>
              <w:t>ȘTEFAN Daniela</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Funcția publică de conducere</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A82173" w:rsidP="00B94F4F">
            <w:pPr>
              <w:widowControl w:val="0"/>
              <w:rPr>
                <w:rFonts w:ascii="Trebuchet MS" w:hAnsi="Trebuchet MS"/>
                <w:sz w:val="22"/>
                <w:szCs w:val="22"/>
              </w:rPr>
            </w:pPr>
            <w:r w:rsidRPr="00991856">
              <w:rPr>
                <w:rFonts w:ascii="Trebuchet MS" w:hAnsi="Trebuchet MS"/>
                <w:sz w:val="22"/>
                <w:szCs w:val="22"/>
                <w:lang w:val="ro-RO"/>
              </w:rPr>
              <w:t xml:space="preserve">Șef </w:t>
            </w:r>
            <w:r w:rsidR="00B94F4F" w:rsidRPr="00991856">
              <w:rPr>
                <w:rFonts w:ascii="Trebuchet MS" w:hAnsi="Trebuchet MS"/>
                <w:sz w:val="22"/>
                <w:szCs w:val="22"/>
                <w:lang w:val="ro-RO"/>
              </w:rPr>
              <w:t>serviciu</w:t>
            </w: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Semnătura</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97" w:type="dxa"/>
            <w:gridSpan w:val="3"/>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 xml:space="preserve">Data întocmirii </w:t>
            </w:r>
          </w:p>
        </w:tc>
        <w:tc>
          <w:tcPr>
            <w:tcW w:w="7348" w:type="dxa"/>
            <w:tcBorders>
              <w:top w:val="single" w:sz="4" w:space="0" w:color="000000"/>
              <w:left w:val="single" w:sz="4" w:space="0" w:color="000000"/>
              <w:bottom w:val="single" w:sz="4" w:space="0" w:color="000000"/>
              <w:right w:val="single" w:sz="4" w:space="0" w:color="000000"/>
            </w:tcBorders>
            <w:vAlign w:val="center"/>
          </w:tcPr>
          <w:p w:rsidR="001A46EF" w:rsidRPr="00991856" w:rsidRDefault="00995317" w:rsidP="009C0A55">
            <w:pPr>
              <w:widowControl w:val="0"/>
              <w:rPr>
                <w:rFonts w:ascii="Trebuchet MS" w:hAnsi="Trebuchet MS"/>
                <w:sz w:val="22"/>
                <w:szCs w:val="22"/>
              </w:rPr>
            </w:pPr>
            <w:r>
              <w:rPr>
                <w:rFonts w:ascii="Trebuchet MS" w:hAnsi="Trebuchet MS"/>
                <w:sz w:val="22"/>
                <w:szCs w:val="22"/>
              </w:rPr>
              <w:t>15 iulie</w:t>
            </w:r>
            <w:r w:rsidR="007E1747" w:rsidRPr="00991856">
              <w:rPr>
                <w:rFonts w:ascii="Trebuchet MS" w:hAnsi="Trebuchet MS"/>
                <w:sz w:val="22"/>
                <w:szCs w:val="22"/>
              </w:rPr>
              <w:t xml:space="preserve"> 202</w:t>
            </w:r>
            <w:r w:rsidR="009C0A55">
              <w:rPr>
                <w:rFonts w:ascii="Trebuchet MS" w:hAnsi="Trebuchet MS"/>
                <w:sz w:val="22"/>
                <w:szCs w:val="22"/>
              </w:rPr>
              <w:t>4</w:t>
            </w:r>
          </w:p>
        </w:tc>
      </w:tr>
      <w:tr w:rsidR="001A46EF" w:rsidRPr="00A51C04" w:rsidTr="007E1747">
        <w:tc>
          <w:tcPr>
            <w:tcW w:w="10345" w:type="dxa"/>
            <w:gridSpan w:val="4"/>
            <w:tcBorders>
              <w:top w:val="single" w:sz="4" w:space="0" w:color="000000"/>
              <w:left w:val="single" w:sz="4" w:space="0" w:color="000000"/>
              <w:bottom w:val="single" w:sz="4" w:space="0" w:color="000000"/>
              <w:right w:val="single" w:sz="4" w:space="0" w:color="000000"/>
            </w:tcBorders>
          </w:tcPr>
          <w:p w:rsidR="007E1747" w:rsidRPr="00991856" w:rsidRDefault="00A82173" w:rsidP="001C08CF">
            <w:pPr>
              <w:widowControl w:val="0"/>
              <w:jc w:val="center"/>
              <w:rPr>
                <w:rFonts w:ascii="Trebuchet MS" w:hAnsi="Trebuchet MS"/>
                <w:b/>
                <w:sz w:val="22"/>
                <w:szCs w:val="22"/>
                <w:lang w:val="fr-FR"/>
              </w:rPr>
            </w:pPr>
            <w:r w:rsidRPr="00991856">
              <w:rPr>
                <w:rFonts w:ascii="Trebuchet MS" w:hAnsi="Trebuchet MS" w:cs="Trebuchet MS"/>
                <w:b/>
                <w:sz w:val="22"/>
                <w:szCs w:val="22"/>
                <w:lang w:val="fr-FR"/>
              </w:rPr>
              <w:t>Luat la cunoștință de ocupantul postului</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r w:rsidRPr="00991856">
              <w:rPr>
                <w:rFonts w:ascii="Trebuchet MS" w:hAnsi="Trebuchet MS" w:cs="Trebuchet MS"/>
                <w:sz w:val="22"/>
                <w:szCs w:val="22"/>
              </w:rPr>
              <w:t>Numele și prenumele</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C9710F" w:rsidP="0015527F">
            <w:pPr>
              <w:widowControl w:val="0"/>
              <w:rPr>
                <w:rFonts w:ascii="Trebuchet MS" w:hAnsi="Trebuchet MS"/>
                <w:sz w:val="22"/>
                <w:szCs w:val="22"/>
              </w:rPr>
            </w:pPr>
            <w:r>
              <w:rPr>
                <w:rFonts w:ascii="Trebuchet MS" w:hAnsi="Trebuchet MS"/>
                <w:sz w:val="22"/>
                <w:szCs w:val="22"/>
              </w:rPr>
              <w:t>VACANT</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r w:rsidRPr="00991856">
              <w:rPr>
                <w:rFonts w:ascii="Trebuchet MS" w:hAnsi="Trebuchet MS" w:cs="Trebuchet MS"/>
                <w:sz w:val="22"/>
                <w:szCs w:val="22"/>
              </w:rPr>
              <w:t>Semnătura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ind w:left="3" w:hanging="3"/>
              <w:rPr>
                <w:rFonts w:ascii="Trebuchet MS" w:hAnsi="Trebuchet MS"/>
                <w:sz w:val="22"/>
                <w:szCs w:val="22"/>
              </w:rPr>
            </w:pPr>
            <w:r w:rsidRPr="00991856">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995317" w:rsidP="007E1747">
            <w:pPr>
              <w:widowControl w:val="0"/>
              <w:rPr>
                <w:rFonts w:ascii="Trebuchet MS" w:hAnsi="Trebuchet MS"/>
                <w:sz w:val="22"/>
                <w:szCs w:val="22"/>
              </w:rPr>
            </w:pPr>
            <w:r>
              <w:rPr>
                <w:rFonts w:ascii="Trebuchet MS" w:hAnsi="Trebuchet MS"/>
                <w:sz w:val="22"/>
                <w:szCs w:val="22"/>
              </w:rPr>
              <w:t>15 iulie</w:t>
            </w:r>
            <w:r w:rsidRPr="00991856">
              <w:rPr>
                <w:rFonts w:ascii="Trebuchet MS" w:hAnsi="Trebuchet MS"/>
                <w:sz w:val="22"/>
                <w:szCs w:val="22"/>
              </w:rPr>
              <w:t xml:space="preserve"> 202</w:t>
            </w:r>
            <w:r>
              <w:rPr>
                <w:rFonts w:ascii="Trebuchet MS" w:hAnsi="Trebuchet MS"/>
                <w:sz w:val="22"/>
                <w:szCs w:val="22"/>
              </w:rPr>
              <w:t>4</w:t>
            </w:r>
          </w:p>
        </w:tc>
      </w:tr>
      <w:tr w:rsidR="001A46EF" w:rsidRPr="007E1747" w:rsidTr="007E1747">
        <w:tc>
          <w:tcPr>
            <w:tcW w:w="10345" w:type="dxa"/>
            <w:gridSpan w:val="4"/>
            <w:tcBorders>
              <w:top w:val="single" w:sz="4" w:space="0" w:color="000000"/>
              <w:left w:val="single" w:sz="4" w:space="0" w:color="000000"/>
              <w:bottom w:val="single" w:sz="4" w:space="0" w:color="000000"/>
              <w:right w:val="single" w:sz="4" w:space="0" w:color="000000"/>
            </w:tcBorders>
          </w:tcPr>
          <w:p w:rsidR="007E1747" w:rsidRPr="001C08CF" w:rsidRDefault="00A82173" w:rsidP="001C08CF">
            <w:pPr>
              <w:widowControl w:val="0"/>
              <w:jc w:val="center"/>
              <w:rPr>
                <w:rFonts w:ascii="Trebuchet MS" w:hAnsi="Trebuchet MS" w:cs="Trebuchet MS"/>
                <w:b/>
                <w:sz w:val="22"/>
                <w:szCs w:val="22"/>
                <w:vertAlign w:val="superscript"/>
              </w:rPr>
            </w:pPr>
            <w:r w:rsidRPr="00991856">
              <w:rPr>
                <w:rFonts w:ascii="Trebuchet MS" w:hAnsi="Trebuchet MS" w:cs="Trebuchet MS"/>
                <w:b/>
                <w:bCs/>
                <w:sz w:val="22"/>
                <w:szCs w:val="22"/>
              </w:rPr>
              <w:t>Contrasemnează</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Numele și prenumele</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F3422" w:rsidP="002567F9">
            <w:pPr>
              <w:widowControl w:val="0"/>
              <w:rPr>
                <w:rFonts w:ascii="Trebuchet MS" w:hAnsi="Trebuchet MS"/>
                <w:sz w:val="22"/>
                <w:szCs w:val="22"/>
              </w:rPr>
            </w:pPr>
            <w:r>
              <w:rPr>
                <w:rFonts w:ascii="Trebuchet MS" w:hAnsi="Trebuchet MS"/>
                <w:sz w:val="22"/>
                <w:szCs w:val="22"/>
                <w:lang w:val="ro-RO"/>
              </w:rPr>
              <w:t xml:space="preserve">ALECU </w:t>
            </w:r>
            <w:r w:rsidR="00A51C04">
              <w:rPr>
                <w:rFonts w:ascii="Trebuchet MS" w:hAnsi="Trebuchet MS"/>
                <w:sz w:val="22"/>
                <w:szCs w:val="22"/>
                <w:lang w:val="ro-RO"/>
              </w:rPr>
              <w:t>Laura Emilia</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Funcția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B94F4F" w:rsidP="007E1747">
            <w:pPr>
              <w:widowControl w:val="0"/>
              <w:rPr>
                <w:rFonts w:ascii="Trebuchet MS" w:hAnsi="Trebuchet MS"/>
                <w:sz w:val="22"/>
                <w:szCs w:val="22"/>
              </w:rPr>
            </w:pPr>
            <w:r w:rsidRPr="00991856">
              <w:rPr>
                <w:rFonts w:ascii="Trebuchet MS" w:hAnsi="Trebuchet MS"/>
                <w:sz w:val="22"/>
                <w:szCs w:val="22"/>
                <w:lang w:val="ro-RO"/>
              </w:rPr>
              <w:t>Director</w:t>
            </w: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Semnătura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1A46EF" w:rsidP="007E1747">
            <w:pPr>
              <w:widowControl w:val="0"/>
              <w:rPr>
                <w:rFonts w:ascii="Trebuchet MS" w:hAnsi="Trebuchet MS"/>
                <w:sz w:val="22"/>
                <w:szCs w:val="22"/>
              </w:rPr>
            </w:pPr>
          </w:p>
        </w:tc>
      </w:tr>
      <w:tr w:rsidR="001A46EF" w:rsidRPr="007E1747" w:rsidTr="007E1747">
        <w:tc>
          <w:tcPr>
            <w:tcW w:w="2984" w:type="dxa"/>
            <w:gridSpan w:val="2"/>
            <w:tcBorders>
              <w:top w:val="single" w:sz="4" w:space="0" w:color="000000"/>
              <w:left w:val="single" w:sz="4" w:space="0" w:color="000000"/>
              <w:bottom w:val="single" w:sz="4" w:space="0" w:color="000000"/>
              <w:right w:val="single" w:sz="4" w:space="0" w:color="000000"/>
            </w:tcBorders>
          </w:tcPr>
          <w:p w:rsidR="001A46EF" w:rsidRPr="00991856" w:rsidRDefault="00A82173" w:rsidP="007E1747">
            <w:pPr>
              <w:widowControl w:val="0"/>
              <w:rPr>
                <w:rFonts w:ascii="Trebuchet MS" w:hAnsi="Trebuchet MS"/>
                <w:sz w:val="22"/>
                <w:szCs w:val="22"/>
              </w:rPr>
            </w:pPr>
            <w:r w:rsidRPr="00991856">
              <w:rPr>
                <w:rFonts w:ascii="Trebuchet MS" w:hAnsi="Trebuchet MS" w:cs="Trebuchet MS"/>
                <w:sz w:val="22"/>
                <w:szCs w:val="22"/>
              </w:rPr>
              <w:t>Data</w:t>
            </w:r>
          </w:p>
        </w:tc>
        <w:tc>
          <w:tcPr>
            <w:tcW w:w="7361" w:type="dxa"/>
            <w:gridSpan w:val="2"/>
            <w:tcBorders>
              <w:top w:val="single" w:sz="4" w:space="0" w:color="000000"/>
              <w:left w:val="single" w:sz="4" w:space="0" w:color="000000"/>
              <w:bottom w:val="single" w:sz="4" w:space="0" w:color="000000"/>
              <w:right w:val="single" w:sz="4" w:space="0" w:color="000000"/>
            </w:tcBorders>
            <w:vAlign w:val="center"/>
          </w:tcPr>
          <w:p w:rsidR="001A46EF" w:rsidRPr="00991856" w:rsidRDefault="00995317" w:rsidP="009C0A55">
            <w:pPr>
              <w:widowControl w:val="0"/>
              <w:rPr>
                <w:rFonts w:ascii="Trebuchet MS" w:hAnsi="Trebuchet MS"/>
                <w:sz w:val="22"/>
                <w:szCs w:val="22"/>
              </w:rPr>
            </w:pPr>
            <w:r>
              <w:rPr>
                <w:rFonts w:ascii="Trebuchet MS" w:hAnsi="Trebuchet MS"/>
                <w:sz w:val="22"/>
                <w:szCs w:val="22"/>
              </w:rPr>
              <w:t>15 iulie</w:t>
            </w:r>
            <w:r w:rsidRPr="00991856">
              <w:rPr>
                <w:rFonts w:ascii="Trebuchet MS" w:hAnsi="Trebuchet MS"/>
                <w:sz w:val="22"/>
                <w:szCs w:val="22"/>
              </w:rPr>
              <w:t xml:space="preserve"> 202</w:t>
            </w:r>
            <w:r>
              <w:rPr>
                <w:rFonts w:ascii="Trebuchet MS" w:hAnsi="Trebuchet MS"/>
                <w:sz w:val="22"/>
                <w:szCs w:val="22"/>
              </w:rPr>
              <w:t>4</w:t>
            </w:r>
          </w:p>
        </w:tc>
      </w:tr>
    </w:tbl>
    <w:p w:rsidR="001A46EF" w:rsidRDefault="001A46EF" w:rsidP="003A5463">
      <w:pPr>
        <w:rPr>
          <w:rFonts w:ascii="Trebuchet MS" w:hAnsi="Trebuchet MS"/>
          <w:sz w:val="22"/>
          <w:szCs w:val="22"/>
        </w:rPr>
      </w:pPr>
    </w:p>
    <w:sectPr w:rsidR="001A46EF" w:rsidSect="00991856">
      <w:pgSz w:w="11907" w:h="16839" w:code="9"/>
      <w:pgMar w:top="1080" w:right="810"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810"/>
        </w:tabs>
        <w:ind w:left="810" w:hanging="360"/>
      </w:pPr>
      <w:rPr>
        <w:rFonts w:ascii="Arial" w:hAnsi="Arial" w:cs="Arial"/>
        <w:spacing w:val="0"/>
        <w:sz w:val="20"/>
        <w:szCs w:val="20"/>
        <w:lang w:val="ro-RO"/>
      </w:rPr>
    </w:lvl>
  </w:abstractNum>
  <w:abstractNum w:abstractNumId="1">
    <w:nsid w:val="11EA6B37"/>
    <w:multiLevelType w:val="hybridMultilevel"/>
    <w:tmpl w:val="B36E12E8"/>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nsid w:val="383B76C6"/>
    <w:multiLevelType w:val="hybridMultilevel"/>
    <w:tmpl w:val="AFA85EDE"/>
    <w:lvl w:ilvl="0" w:tplc="0418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C90256"/>
    <w:multiLevelType w:val="hybridMultilevel"/>
    <w:tmpl w:val="61AA13CA"/>
    <w:lvl w:ilvl="0" w:tplc="6996158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EF"/>
    <w:rsid w:val="000A0733"/>
    <w:rsid w:val="000C7B72"/>
    <w:rsid w:val="0015527F"/>
    <w:rsid w:val="00195651"/>
    <w:rsid w:val="001A46EF"/>
    <w:rsid w:val="001C08CF"/>
    <w:rsid w:val="001C6F91"/>
    <w:rsid w:val="001F3422"/>
    <w:rsid w:val="00214B6C"/>
    <w:rsid w:val="002567F9"/>
    <w:rsid w:val="0026304D"/>
    <w:rsid w:val="00264F54"/>
    <w:rsid w:val="00271D28"/>
    <w:rsid w:val="002D49FB"/>
    <w:rsid w:val="003843A7"/>
    <w:rsid w:val="003A5463"/>
    <w:rsid w:val="004457D3"/>
    <w:rsid w:val="00476E43"/>
    <w:rsid w:val="004F57AE"/>
    <w:rsid w:val="005A16FC"/>
    <w:rsid w:val="005C04A3"/>
    <w:rsid w:val="006061D8"/>
    <w:rsid w:val="00735BC9"/>
    <w:rsid w:val="007B19E3"/>
    <w:rsid w:val="007C2DA8"/>
    <w:rsid w:val="007E1747"/>
    <w:rsid w:val="00854A5F"/>
    <w:rsid w:val="008E1767"/>
    <w:rsid w:val="00905856"/>
    <w:rsid w:val="00921FFF"/>
    <w:rsid w:val="00991856"/>
    <w:rsid w:val="00994456"/>
    <w:rsid w:val="00995317"/>
    <w:rsid w:val="009C0A55"/>
    <w:rsid w:val="00A27B98"/>
    <w:rsid w:val="00A51C04"/>
    <w:rsid w:val="00A54715"/>
    <w:rsid w:val="00A70C66"/>
    <w:rsid w:val="00A82173"/>
    <w:rsid w:val="00A94742"/>
    <w:rsid w:val="00B94F4F"/>
    <w:rsid w:val="00BA48A4"/>
    <w:rsid w:val="00BB635E"/>
    <w:rsid w:val="00BE11A1"/>
    <w:rsid w:val="00BE5AC8"/>
    <w:rsid w:val="00BE6804"/>
    <w:rsid w:val="00C002CA"/>
    <w:rsid w:val="00C33F14"/>
    <w:rsid w:val="00C767BB"/>
    <w:rsid w:val="00C9710F"/>
    <w:rsid w:val="00CC7888"/>
    <w:rsid w:val="00CF22A4"/>
    <w:rsid w:val="00D325CF"/>
    <w:rsid w:val="00D42A3E"/>
    <w:rsid w:val="00D66E37"/>
    <w:rsid w:val="00DB580B"/>
    <w:rsid w:val="00DD000B"/>
    <w:rsid w:val="00DE043A"/>
    <w:rsid w:val="00E57CA5"/>
    <w:rsid w:val="00E65BE0"/>
    <w:rsid w:val="00F3074A"/>
    <w:rsid w:val="00F319FE"/>
    <w:rsid w:val="00F614BD"/>
    <w:rsid w:val="00FE4C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4EA8E-BCF6-45FB-B5C1-830B96BC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DefaultText1">
    <w:name w:val="Default Text:1"/>
    <w:basedOn w:val="Normal"/>
    <w:link w:val="DefaultText1Caracter"/>
    <w:qFormat/>
    <w:rsid w:val="007E1747"/>
    <w:pPr>
      <w:suppressAutoHyphens w:val="0"/>
      <w:overflowPunct/>
      <w:spacing w:after="200" w:line="276" w:lineRule="auto"/>
    </w:pPr>
    <w:rPr>
      <w:rFonts w:ascii="Cambria" w:eastAsia="Calibri" w:hAnsi="Cambria" w:cs="Times New Roman"/>
      <w:kern w:val="0"/>
      <w:sz w:val="22"/>
      <w:szCs w:val="22"/>
      <w:lang w:val="x-none" w:eastAsia="x-none" w:bidi="ar-SA"/>
    </w:rPr>
  </w:style>
  <w:style w:type="character" w:customStyle="1" w:styleId="DefaultText1Caracter">
    <w:name w:val="Default Text:1 Caracter"/>
    <w:link w:val="DefaultText1"/>
    <w:rsid w:val="007E1747"/>
    <w:rPr>
      <w:rFonts w:ascii="Cambria" w:eastAsia="Calibri" w:hAnsi="Cambria" w:cs="Times New Roman"/>
      <w:kern w:val="0"/>
      <w:sz w:val="22"/>
      <w:szCs w:val="22"/>
      <w:lang w:val="x-none" w:eastAsia="x-none" w:bidi="ar-SA"/>
    </w:rPr>
  </w:style>
  <w:style w:type="paragraph" w:styleId="BalloonText">
    <w:name w:val="Balloon Text"/>
    <w:basedOn w:val="Normal"/>
    <w:link w:val="BalloonTextChar"/>
    <w:uiPriority w:val="99"/>
    <w:semiHidden/>
    <w:unhideWhenUsed/>
    <w:rsid w:val="00E57CA5"/>
    <w:rPr>
      <w:rFonts w:ascii="Segoe UI" w:hAnsi="Segoe UI" w:cs="Mangal"/>
      <w:sz w:val="18"/>
      <w:szCs w:val="16"/>
    </w:rPr>
  </w:style>
  <w:style w:type="character" w:customStyle="1" w:styleId="BalloonTextChar">
    <w:name w:val="Balloon Text Char"/>
    <w:basedOn w:val="DefaultParagraphFont"/>
    <w:link w:val="BalloonText"/>
    <w:uiPriority w:val="99"/>
    <w:semiHidden/>
    <w:rsid w:val="00E57CA5"/>
    <w:rPr>
      <w:rFonts w:ascii="Segoe UI" w:hAnsi="Segoe UI" w:cs="Mangal"/>
      <w:sz w:val="18"/>
      <w:szCs w:val="16"/>
    </w:rPr>
  </w:style>
  <w:style w:type="paragraph" w:customStyle="1" w:styleId="TableParagraph">
    <w:name w:val="Table Paragraph"/>
    <w:basedOn w:val="Normal"/>
    <w:rsid w:val="00A54715"/>
    <w:pPr>
      <w:overflowPunct/>
    </w:pPr>
    <w:rPr>
      <w:rFonts w:ascii="Times New Roman" w:eastAsia="Times New Roman" w:hAnsi="Times New Roman" w:cs="Times New Roman"/>
      <w:kern w:val="0"/>
      <w:sz w:val="20"/>
      <w:szCs w:val="20"/>
      <w:lang w:bidi="ar-SA"/>
    </w:rPr>
  </w:style>
  <w:style w:type="character" w:styleId="PageNumber">
    <w:name w:val="page number"/>
    <w:basedOn w:val="DefaultParagraphFont"/>
    <w:rsid w:val="00C76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DRAGOI</dc:creator>
  <dc:description/>
  <cp:lastModifiedBy>NICOLAE-AUGUSTIN ROGOZ</cp:lastModifiedBy>
  <cp:revision>2</cp:revision>
  <cp:lastPrinted>2024-07-15T08:21:00Z</cp:lastPrinted>
  <dcterms:created xsi:type="dcterms:W3CDTF">2025-04-09T12:50:00Z</dcterms:created>
  <dcterms:modified xsi:type="dcterms:W3CDTF">2025-04-09T12:50:00Z</dcterms:modified>
  <dc:language>en-US</dc:language>
</cp:coreProperties>
</file>